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sgnw4e8vk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Food Supply Chain — Traceability &amp; Recall Data Hub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hndhvgose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Database Design Document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v42au6k9q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Business Problem &amp; Goals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axj2fj8pu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Overview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manufacturing must track materials from intake to delivery while safeguarding quality and responding rapidly to recalls. The data model provides a single source of truth for suppliers, materials, lots, QA results, storage, shipments, and recalls so that operations, QA, and compliance teams can work from consistent, auditable data.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qplcbr2r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Objectives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 end‑to‑end traceability of every lot across transformations and movements.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Enforce data quality for identifiers, units of measure, statuses, and temperature limits.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Distinguish on‑hand vs reserved inventory to prevent double allocation.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Gate outbound shipments on QualityTest results and capture cold‑chain details.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Produce clear, regulator‑ready reports with a full AuditLog of changes.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j5akksgs0v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Key Use Cases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all customers and shipments affected by a specific lot recall.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Trace a shipped lot back to its supplier inputs (upstream provenance).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inventory aging, dwell time, and lots nearing expiry.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supplier lead times, pricing, and QA pass rates over time.</w:t>
        <w:br w:type="textWrapping"/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5imkeb222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Scope &amp; Assumptions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22i6ey8lq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In Scope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Master data: Supplier, Material, Warehouse, Customer.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Transactions: Lot, QualityTest, Inventory, Shipment, Recall.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Linkages: SupplierMaterial, ShipmentLot, RecallLot, Genealogy.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Governance: AuditLog, statuses, effective dating, and basic temperature handling.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o56xcxuzmp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Out of Scope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Detailed manufacturing routing/operations beyond lot genealogy.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IoT telemetry warehousing; only summarized/attached logs are stored.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 contracts beyond unit price at the supplier‑material level.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dx3kq06qp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Assumptions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Timestamps are stored in UTC. Natural business codes (e.g., lot_number) are unique.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"Soft delete" via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is_active</w:t>
      </w:r>
      <w:r w:rsidDel="00000000" w:rsidR="00000000" w:rsidRPr="00000000">
        <w:rPr>
          <w:b w:val="1"/>
          <w:rtl w:val="0"/>
        </w:rPr>
        <w:t xml:space="preserve"> where needed; transactional history is never removed.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Controlled vocabulary for statuses and test types is managed application‑side.</w:t>
        <w:br w:type="textWrapping"/>
      </w:r>
    </w:p>
    <w:p w:rsidR="00000000" w:rsidDel="00000000" w:rsidP="00000000" w:rsidRDefault="00000000" w:rsidRPr="00000000" w14:paraId="0000002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3bylh073b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Entities &amp; Attributes (ERD‑Aligned)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vwux1h8c4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Master Data Entities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Supplier</w:t>
      </w:r>
      <w:r w:rsidDel="00000000" w:rsidR="00000000" w:rsidRPr="00000000">
        <w:rPr>
          <w:b w:val="1"/>
          <w:sz w:val="24"/>
          <w:szCs w:val="24"/>
          <w:rtl w:val="0"/>
        </w:rPr>
        <w:t xml:space="preserve"> — vendor profile (code, name, country, contact, rating).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— item definition (name, UoM, shelf life, temperature bounds).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Warehouse — storage site (code, name, address, capacity, temperature zones).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— sold‑to account (code, name, type, ship‑to address, contact).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oa39aqajvg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Transactional Entities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Lot</w:t>
      </w:r>
      <w:r w:rsidDel="00000000" w:rsidR="00000000" w:rsidRPr="00000000">
        <w:rPr>
          <w:b w:val="1"/>
          <w:rtl w:val="0"/>
        </w:rPr>
        <w:t xml:space="preserve"> — batch instance linked to a supplier and material; tracks qty, dates (production/expiry/receipt), and status.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QualityTest — test record for a lot (type, method, result value, pass flag, tester/device, timestamp).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Inventory — stock position per lot and warehouse/location; separates on‑hand vs reserved, status, last movement, dwell days.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Shipment — outbound movement from a warehouse (number, carrier, ETD/ATD, tracking, status).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Recall — recall event metadata (number, date, reason, severity, status, regulator, initiator, resolution date).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22b26ia2wdd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Associative/Link Entities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SupplierMaterial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— approved sourcing (supplier ↔ material) with lead time, unit price, effective dates.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ShipmentLot — what lots/quantities were placed on a shipment; line price and optional temperature log.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RecallLot — mapping of recalls to lots with affected quantity/customers notes.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Genealogy — parent/child lot links created by splitting/combining/processing; includes qty used, yield %, waste amount, and timestamp.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1nlias5yk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4) Relationships &amp; Cardinalities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oqxx3kemgn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One‑to‑Many Relationships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Supplier → Lot; Material → Lot; Lot → QualityTest; Warehouse → Inventory; Warehouse → Shipment; Customer → Shipment (as destination).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h9e62if227a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Many‑to‑Many via Associative Tables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Supplier ↔ Material via SupplierMaterial.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Shipment ↔ Lot via ShipmentLot.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Recall ↔ Lot via RecallLot.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mftc34ns79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Special Rules (Genealogy, Recalls, QA)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Genealogy</w:t>
      </w:r>
      <w:r w:rsidDel="00000000" w:rsidR="00000000" w:rsidRPr="00000000">
        <w:rPr>
          <w:b w:val="1"/>
          <w:rtl w:val="0"/>
        </w:rPr>
        <w:t xml:space="preserve"> models lot transformations (M:N); parents can produce multiple children and children can consume multiple parents.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gate: a lot cannot be shipped unless its latest QualityTest is a pass (or a documented override exists).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Recall impact uses RecallLot to discover affected Inventory and historical ShipmentLot rows.</w:t>
        <w:br w:type="textWrapping"/>
      </w:r>
    </w:p>
    <w:p w:rsidR="00000000" w:rsidDel="00000000" w:rsidP="00000000" w:rsidRDefault="00000000" w:rsidRPr="00000000" w14:paraId="0000004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89xuxy2fv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5) Key Database Design Decisions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ijn0pxmjpw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Keys &amp; Indexing Strategy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Surrogate integer PKs on all tables; natural business identifiers (e.g.,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supplier_code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lot_number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shipment_number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warehouse_code</w:t>
      </w:r>
      <w:r w:rsidDel="00000000" w:rsidR="00000000" w:rsidRPr="00000000">
        <w:rPr>
          <w:b w:val="1"/>
          <w:rtl w:val="0"/>
        </w:rPr>
        <w:t xml:space="preserve">) are UNIQUE.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 all FKs; add composites for common filters (e.g., Inventory(lot_id, warehouse_id, status)).</w:t>
        <w:br w:type="textWrapping"/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ledyrdciaf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Status/Soft‑Delete Strategy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status enums (e.g., Draft/Active/Hold/Closed)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is_active</w:t>
      </w:r>
      <w:r w:rsidDel="00000000" w:rsidR="00000000" w:rsidRPr="00000000">
        <w:rPr>
          <w:b w:val="1"/>
          <w:rtl w:val="0"/>
        </w:rPr>
        <w:t xml:space="preserve"> flags where appropriate. No hard deletes for transactional data.</w:t>
        <w:br w:type="textWrapping"/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eia90qeaxo9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Quality Gating &amp; Cold‑Chain Handling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Enforce QA gate before shipment. Store min/max temperature thresholds on Material/Warehouse; attach summarized temperature logs on ShipmentLot when available.</w:t>
        <w:br w:type="textWrapping"/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xvlzio0m4x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Audit &amp; Effective‑Dating Approach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AuditLog</w:t>
      </w:r>
      <w:r w:rsidDel="00000000" w:rsidR="00000000" w:rsidRPr="00000000">
        <w:rPr>
          <w:b w:val="1"/>
          <w:rtl w:val="0"/>
        </w:rPr>
        <w:t xml:space="preserve"> captures table name, record id, action, user, timestamp, and old/new JSON payloads.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SupplierMaterial supports effective dating to track historical price/lead‑time changes.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z30u4hqq5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6) Data Quality &amp; Governance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sevel2odfa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Controlled Vocabularies &amp; Validation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Validate codes (regex/length), units of measure, and status sets. Enforce positive quantities and realistic temperatures.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o1cozmce8o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Constraints &amp; Checks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Inventory.quantity_on_hand ≥ quantity_reserved ≥ 0</w:t>
      </w:r>
      <w:r w:rsidDel="00000000" w:rsidR="00000000" w:rsidRPr="00000000">
        <w:rPr>
          <w:b w:val="1"/>
          <w:rtl w:val="0"/>
        </w:rPr>
        <w:t xml:space="preserve"> via CHECKs/triggers.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Genealogy balance: sum(child.qty_used) ≤ parent available quantity at the time of processing.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hbgh71qrom4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 Change Management &amp; Audit Trail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All critical updates generate an AuditLog entry; sensitive updates require elevated roles and justification fields captured in the log.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57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wjbrzc7sl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7) Reporting &amp; Analytics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s8w0cs0mmj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Recall Impact &amp; Downstream Exposure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Starting from Recall, join RecallLot → Inventory for what remains and ShipmentLot for who received affected lots, grouped by customer and shipment.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i6lp86psku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Upstream Provenance/Lineage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any shipped lot, walk Genealogy recursively to list all contributing parent lots, their suppliers, and QA outcomes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any shipped lot, walk Genealogy recursively to list all contributing parent lots, their suppliers, and QA outcomes</w:t>
      </w:r>
      <w:r w:rsidDel="00000000" w:rsidR="00000000" w:rsidRPr="00000000">
        <w:rPr>
          <w:b w:val="1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a3ncbqnnfnp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rdgmjq5jww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y35zk9dee3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ce7ts6bryz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74kj5uvav8zo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 Inventory Aging &amp; Dwell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Calculate days‑on‑hand and highlight lots near expiry; report dwell time by warehouse and location to optimize rotation.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4j6cbrgnya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8) Risks &amp; Future Extensions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hk2lptzdsvt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 Known Risks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Temperature telemetry may outgrow summarized storage; consider a dedicated time‑series table if granularity increases.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Complex recalls require performant recursive lineage queries; plan for materialized views or graph extensions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vqkwwuqqss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 Potential Extensions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ProductionOrder/Operation entities for detailed manufacturing steps.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Returns/Disposition for reverse logistics and scrap handling.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 Add Users/Roles for row‑level security and approval workflows.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w737u167gq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nnqe5tb81i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u7fihvg5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jaj9one4r4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dm0zd5h3ss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a1iq1l5zl7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wc4565zl39" w:id="44"/>
      <w:bookmarkEnd w:id="44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6554888" cy="33194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4888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5nutx72evf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78jasb0wpxy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9) Submission Summary (Links)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iube4x85k8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9.1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 https://github.com/riyanshikedia10/DMDD_Group-1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Add your shared ERD URL here.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ze96ujuo6w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9.2 Design Document (This File — </w:t>
      </w:r>
      <w:hyperlink r:id="rId8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https://drive.google.com/file/d/1KDXv9hpZm3MEjyPB1ga3QTws0VhJCknd/view?usp=sharing</w:t>
        </w:r>
      </w:hyperlink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240" w:before="240" w:lineRule="auto"/>
        <w:rPr>
          <w:i w:val="1"/>
          <w:sz w:val="34"/>
          <w:szCs w:val="34"/>
        </w:rPr>
      </w:pPr>
      <w:bookmarkStart w:colFirst="0" w:colLast="0" w:name="_7wmh1uje16pv" w:id="49"/>
      <w:bookmarkEnd w:id="49"/>
      <w:r w:rsidDel="00000000" w:rsidR="00000000" w:rsidRPr="00000000">
        <w:rPr>
          <w:i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7F">
      <w:pPr>
        <w:pStyle w:val="Heading2"/>
        <w:spacing w:after="240" w:before="240" w:lineRule="auto"/>
        <w:rPr>
          <w:rFonts w:ascii="Calibri" w:cs="Calibri" w:eastAsia="Calibri" w:hAnsi="Calibri"/>
          <w:sz w:val="30"/>
          <w:szCs w:val="30"/>
        </w:rPr>
      </w:pPr>
      <w:bookmarkStart w:colFirst="0" w:colLast="0" w:name="_uwb3csfrs5rp" w:id="50"/>
      <w:bookmarkEnd w:id="50"/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Team Members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Member 1: Riyanshi Kedia - 002038686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Member 2: Prerana Gireesha - 002088156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Member 3: Hardi Atulbhai Virani - 002062268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Member 4: Harini Thirugnanasambandham - 002316667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Arial Unicode MS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-342899</wp:posOffset>
          </wp:positionV>
          <wp:extent cx="5943600" cy="12446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244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riyanshikedia10/DMDD_Group-1" TargetMode="External"/><Relationship Id="rId8" Type="http://schemas.openxmlformats.org/officeDocument/2006/relationships/hyperlink" Target="https://drive.google.com/file/d/1KDXv9hpZm3MEjyPB1ga3QTws0VhJCknd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