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70531" w14:textId="77777777" w:rsidR="001F40C6" w:rsidRDefault="00EC754C">
      <w:pPr>
        <w:spacing w:after="160"/>
        <w:jc w:val="center"/>
      </w:pPr>
      <w:r>
        <w:rPr>
          <w:sz w:val="48"/>
          <w:szCs w:val="48"/>
        </w:rPr>
        <w:t>AI Bias Mitigation: A Lifecycle Workflow for Detecting and Reducing Unfair Outcomes</w:t>
      </w:r>
    </w:p>
    <w:tbl>
      <w:tblPr>
        <w:tblW w:w="102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41"/>
        <w:gridCol w:w="5141"/>
      </w:tblGrid>
      <w:tr w:rsidR="001F40C6" w14:paraId="5E40B5D9" w14:textId="77777777">
        <w:tc>
          <w:tcPr>
            <w:tcW w:w="5141" w:type="dxa"/>
            <w:tcBorders>
              <w:top w:val="none" w:sz="0" w:space="0" w:color="FFFFFF"/>
              <w:left w:val="none" w:sz="0" w:space="0" w:color="FFFFFF"/>
              <w:bottom w:val="none" w:sz="0" w:space="0" w:color="FFFFFF"/>
              <w:right w:val="none" w:sz="0" w:space="0" w:color="FFFFFF"/>
            </w:tcBorders>
            <w:tcMar>
              <w:top w:w="0" w:type="dxa"/>
              <w:left w:w="60" w:type="dxa"/>
              <w:bottom w:w="80" w:type="dxa"/>
              <w:right w:w="60" w:type="dxa"/>
            </w:tcMar>
          </w:tcPr>
          <w:p w14:paraId="63AF0CD4" w14:textId="77777777" w:rsidR="001F40C6" w:rsidRDefault="00EC754C">
            <w:pPr>
              <w:jc w:val="center"/>
            </w:pPr>
            <w:proofErr w:type="spellStart"/>
            <w:r>
              <w:rPr>
                <w:sz w:val="22"/>
                <w:szCs w:val="22"/>
              </w:rPr>
              <w:t>Tanushree</w:t>
            </w:r>
            <w:proofErr w:type="spellEnd"/>
            <w:r>
              <w:rPr>
                <w:sz w:val="22"/>
                <w:szCs w:val="22"/>
              </w:rPr>
              <w:t xml:space="preserve"> Vilas Bane</w:t>
            </w:r>
          </w:p>
          <w:p w14:paraId="4D8C0DA9" w14:textId="77777777" w:rsidR="001F40C6" w:rsidRDefault="00EC754C">
            <w:pPr>
              <w:jc w:val="center"/>
            </w:pPr>
            <w:r>
              <w:rPr>
                <w:i/>
                <w:iCs/>
                <w:sz w:val="18"/>
                <w:szCs w:val="18"/>
              </w:rPr>
              <w:t>Computer Department</w:t>
            </w:r>
          </w:p>
          <w:p w14:paraId="10F4F4C6" w14:textId="77777777" w:rsidR="001F40C6" w:rsidRDefault="00EC754C">
            <w:pPr>
              <w:jc w:val="center"/>
            </w:pPr>
            <w:proofErr w:type="spellStart"/>
            <w:r>
              <w:rPr>
                <w:i/>
                <w:iCs/>
                <w:sz w:val="18"/>
                <w:szCs w:val="18"/>
              </w:rPr>
              <w:t>Vidyalankar</w:t>
            </w:r>
            <w:proofErr w:type="spellEnd"/>
            <w:r>
              <w:rPr>
                <w:i/>
                <w:iCs/>
                <w:sz w:val="18"/>
                <w:szCs w:val="18"/>
              </w:rPr>
              <w:t xml:space="preserve"> Institute of Technology</w:t>
            </w:r>
          </w:p>
          <w:p w14:paraId="205F0462" w14:textId="77777777" w:rsidR="001F40C6" w:rsidRDefault="00EC754C">
            <w:pPr>
              <w:jc w:val="center"/>
            </w:pPr>
            <w:r>
              <w:rPr>
                <w:i/>
                <w:iCs/>
                <w:sz w:val="18"/>
                <w:szCs w:val="18"/>
              </w:rPr>
              <w:t>Mumbai, India</w:t>
            </w:r>
          </w:p>
        </w:tc>
        <w:tc>
          <w:tcPr>
            <w:tcW w:w="5141" w:type="dxa"/>
            <w:tcBorders>
              <w:top w:val="none" w:sz="0" w:space="0" w:color="FFFFFF"/>
              <w:left w:val="none" w:sz="0" w:space="0" w:color="FFFFFF"/>
              <w:bottom w:val="none" w:sz="0" w:space="0" w:color="FFFFFF"/>
              <w:right w:val="none" w:sz="0" w:space="0" w:color="FFFFFF"/>
            </w:tcBorders>
            <w:tcMar>
              <w:top w:w="0" w:type="dxa"/>
              <w:left w:w="60" w:type="dxa"/>
              <w:bottom w:w="80" w:type="dxa"/>
              <w:right w:w="60" w:type="dxa"/>
            </w:tcMar>
          </w:tcPr>
          <w:p w14:paraId="7837DCC5" w14:textId="77777777" w:rsidR="001F40C6" w:rsidRDefault="00EC754C">
            <w:pPr>
              <w:jc w:val="center"/>
            </w:pPr>
            <w:proofErr w:type="spellStart"/>
            <w:r>
              <w:rPr>
                <w:sz w:val="22"/>
                <w:szCs w:val="22"/>
              </w:rPr>
              <w:t>Ayushi</w:t>
            </w:r>
            <w:proofErr w:type="spellEnd"/>
            <w:r>
              <w:rPr>
                <w:sz w:val="22"/>
                <w:szCs w:val="22"/>
              </w:rPr>
              <w:t xml:space="preserve"> Jain</w:t>
            </w:r>
          </w:p>
          <w:p w14:paraId="121D621D" w14:textId="77777777" w:rsidR="001F40C6" w:rsidRDefault="00EC754C">
            <w:pPr>
              <w:jc w:val="center"/>
            </w:pPr>
            <w:r>
              <w:rPr>
                <w:i/>
                <w:iCs/>
                <w:sz w:val="18"/>
                <w:szCs w:val="18"/>
              </w:rPr>
              <w:t>Computer Department</w:t>
            </w:r>
          </w:p>
          <w:p w14:paraId="0C499F6C" w14:textId="77777777" w:rsidR="001F40C6" w:rsidRDefault="00EC754C">
            <w:pPr>
              <w:jc w:val="center"/>
            </w:pPr>
            <w:proofErr w:type="spellStart"/>
            <w:r>
              <w:rPr>
                <w:i/>
                <w:iCs/>
                <w:sz w:val="18"/>
                <w:szCs w:val="18"/>
              </w:rPr>
              <w:t>Vidyalankar</w:t>
            </w:r>
            <w:proofErr w:type="spellEnd"/>
            <w:r>
              <w:rPr>
                <w:i/>
                <w:iCs/>
                <w:sz w:val="18"/>
                <w:szCs w:val="18"/>
              </w:rPr>
              <w:t xml:space="preserve"> Institute of Technology</w:t>
            </w:r>
          </w:p>
          <w:p w14:paraId="7F759E24" w14:textId="77777777" w:rsidR="001F40C6" w:rsidRDefault="00EC754C">
            <w:pPr>
              <w:jc w:val="center"/>
            </w:pPr>
            <w:r>
              <w:rPr>
                <w:i/>
                <w:iCs/>
                <w:sz w:val="18"/>
                <w:szCs w:val="18"/>
              </w:rPr>
              <w:t>Mumbai, India</w:t>
            </w:r>
          </w:p>
        </w:tc>
      </w:tr>
      <w:tr w:rsidR="001F40C6" w14:paraId="7C9C7B66" w14:textId="77777777">
        <w:tc>
          <w:tcPr>
            <w:tcW w:w="5141" w:type="dxa"/>
            <w:tcBorders>
              <w:top w:val="none" w:sz="0" w:space="0" w:color="FFFFFF"/>
              <w:left w:val="none" w:sz="0" w:space="0" w:color="FFFFFF"/>
              <w:bottom w:val="none" w:sz="0" w:space="0" w:color="FFFFFF"/>
              <w:right w:val="none" w:sz="0" w:space="0" w:color="FFFFFF"/>
            </w:tcBorders>
            <w:tcMar>
              <w:top w:w="0" w:type="dxa"/>
              <w:left w:w="60" w:type="dxa"/>
              <w:bottom w:w="80" w:type="dxa"/>
              <w:right w:w="60" w:type="dxa"/>
            </w:tcMar>
          </w:tcPr>
          <w:p w14:paraId="738D3FE3" w14:textId="77777777" w:rsidR="001F40C6" w:rsidRDefault="00EC754C">
            <w:pPr>
              <w:jc w:val="center"/>
            </w:pPr>
            <w:r>
              <w:rPr>
                <w:sz w:val="22"/>
                <w:szCs w:val="22"/>
              </w:rPr>
              <w:t xml:space="preserve">Krishna </w:t>
            </w:r>
            <w:proofErr w:type="spellStart"/>
            <w:r>
              <w:rPr>
                <w:sz w:val="22"/>
                <w:szCs w:val="22"/>
              </w:rPr>
              <w:t>Shinde</w:t>
            </w:r>
            <w:proofErr w:type="spellEnd"/>
          </w:p>
          <w:p w14:paraId="0CD8E38D" w14:textId="77777777" w:rsidR="001F40C6" w:rsidRDefault="00EC754C">
            <w:pPr>
              <w:jc w:val="center"/>
            </w:pPr>
            <w:r>
              <w:rPr>
                <w:i/>
                <w:iCs/>
                <w:sz w:val="18"/>
                <w:szCs w:val="18"/>
              </w:rPr>
              <w:t>Computer Department</w:t>
            </w:r>
          </w:p>
          <w:p w14:paraId="779E43E7" w14:textId="77777777" w:rsidR="001F40C6" w:rsidRDefault="00EC754C">
            <w:pPr>
              <w:jc w:val="center"/>
            </w:pPr>
            <w:proofErr w:type="spellStart"/>
            <w:r>
              <w:rPr>
                <w:i/>
                <w:iCs/>
                <w:sz w:val="18"/>
                <w:szCs w:val="18"/>
              </w:rPr>
              <w:t>Vidyalankar</w:t>
            </w:r>
            <w:proofErr w:type="spellEnd"/>
            <w:r>
              <w:rPr>
                <w:i/>
                <w:iCs/>
                <w:sz w:val="18"/>
                <w:szCs w:val="18"/>
              </w:rPr>
              <w:t xml:space="preserve"> Institute of Technology</w:t>
            </w:r>
          </w:p>
          <w:p w14:paraId="0D9FF127" w14:textId="77777777" w:rsidR="001F40C6" w:rsidRDefault="00EC754C">
            <w:pPr>
              <w:jc w:val="center"/>
            </w:pPr>
            <w:r>
              <w:rPr>
                <w:i/>
                <w:iCs/>
                <w:sz w:val="18"/>
                <w:szCs w:val="18"/>
              </w:rPr>
              <w:t>Mumbai, India</w:t>
            </w:r>
          </w:p>
        </w:tc>
        <w:tc>
          <w:tcPr>
            <w:tcW w:w="5141" w:type="dxa"/>
            <w:tcBorders>
              <w:top w:val="none" w:sz="0" w:space="0" w:color="FFFFFF"/>
              <w:left w:val="none" w:sz="0" w:space="0" w:color="FFFFFF"/>
              <w:bottom w:val="none" w:sz="0" w:space="0" w:color="FFFFFF"/>
              <w:right w:val="none" w:sz="0" w:space="0" w:color="FFFFFF"/>
            </w:tcBorders>
            <w:tcMar>
              <w:top w:w="0" w:type="dxa"/>
              <w:left w:w="60" w:type="dxa"/>
              <w:bottom w:w="80" w:type="dxa"/>
              <w:right w:w="60" w:type="dxa"/>
            </w:tcMar>
          </w:tcPr>
          <w:p w14:paraId="4BF31EF0" w14:textId="77777777" w:rsidR="001F40C6" w:rsidRDefault="00EC754C">
            <w:pPr>
              <w:jc w:val="center"/>
            </w:pPr>
            <w:r>
              <w:rPr>
                <w:sz w:val="22"/>
                <w:szCs w:val="22"/>
              </w:rPr>
              <w:t xml:space="preserve">Riya </w:t>
            </w:r>
            <w:proofErr w:type="spellStart"/>
            <w:r>
              <w:rPr>
                <w:sz w:val="22"/>
                <w:szCs w:val="22"/>
              </w:rPr>
              <w:t>Vartha</w:t>
            </w:r>
            <w:proofErr w:type="spellEnd"/>
          </w:p>
          <w:p w14:paraId="48F6B8C0" w14:textId="77777777" w:rsidR="001F40C6" w:rsidRDefault="00EC754C">
            <w:pPr>
              <w:jc w:val="center"/>
            </w:pPr>
            <w:r>
              <w:rPr>
                <w:i/>
                <w:iCs/>
                <w:sz w:val="18"/>
                <w:szCs w:val="18"/>
              </w:rPr>
              <w:t>Computer Department</w:t>
            </w:r>
          </w:p>
          <w:p w14:paraId="3C1A763E" w14:textId="77777777" w:rsidR="001F40C6" w:rsidRDefault="00EC754C">
            <w:pPr>
              <w:jc w:val="center"/>
            </w:pPr>
            <w:proofErr w:type="spellStart"/>
            <w:r>
              <w:rPr>
                <w:i/>
                <w:iCs/>
                <w:sz w:val="18"/>
                <w:szCs w:val="18"/>
              </w:rPr>
              <w:t>Vidyalankar</w:t>
            </w:r>
            <w:proofErr w:type="spellEnd"/>
            <w:r>
              <w:rPr>
                <w:i/>
                <w:iCs/>
                <w:sz w:val="18"/>
                <w:szCs w:val="18"/>
              </w:rPr>
              <w:t xml:space="preserve"> Institute of Technology</w:t>
            </w:r>
          </w:p>
          <w:p w14:paraId="5E36EFDB" w14:textId="77777777" w:rsidR="001F40C6" w:rsidRDefault="00EC754C">
            <w:pPr>
              <w:jc w:val="center"/>
            </w:pPr>
            <w:r>
              <w:rPr>
                <w:i/>
                <w:iCs/>
                <w:sz w:val="18"/>
                <w:szCs w:val="18"/>
              </w:rPr>
              <w:t>Mumbai, India</w:t>
            </w:r>
          </w:p>
        </w:tc>
      </w:tr>
    </w:tbl>
    <w:p w14:paraId="1A36E5E7" w14:textId="77777777" w:rsidR="001F40C6" w:rsidRDefault="00EC754C">
      <w:pPr>
        <w:spacing w:before="40" w:after="160"/>
        <w:jc w:val="center"/>
      </w:pPr>
      <w:r>
        <w:rPr>
          <w:i/>
          <w:iCs/>
          <w:sz w:val="18"/>
          <w:szCs w:val="18"/>
        </w:rPr>
        <w:t>CYCRAI 2027 | Track 3: Foundation of Responsible AI | Subtopic: AI Bias Mitigation</w:t>
      </w:r>
    </w:p>
    <w:p w14:paraId="471E8D7C" w14:textId="77777777" w:rsidR="001F40C6" w:rsidRDefault="001F40C6">
      <w:pPr>
        <w:sectPr w:rsidR="001F40C6">
          <w:pgSz w:w="11906" w:h="16838"/>
          <w:pgMar w:top="1080" w:right="812" w:bottom="2438" w:left="812" w:header="708" w:footer="708" w:gutter="0"/>
          <w:cols w:space="720"/>
          <w:docGrid w:linePitch="360"/>
        </w:sectPr>
      </w:pPr>
    </w:p>
    <w:p w14:paraId="7B38BCB4" w14:textId="77777777" w:rsidR="004C653E" w:rsidRDefault="000625AE" w:rsidP="000625AE">
      <w:pPr>
        <w:pStyle w:val="Heading1"/>
        <w:jc w:val="left"/>
        <w:rPr>
          <w:b/>
          <w:bCs/>
          <w:i/>
          <w:iCs/>
          <w:color w:val="auto"/>
          <w:sz w:val="18"/>
          <w:szCs w:val="18"/>
        </w:rPr>
      </w:pPr>
      <w:r w:rsidRPr="000625AE">
        <w:rPr>
          <w:b/>
          <w:bCs/>
          <w:i/>
          <w:iCs/>
          <w:color w:val="auto"/>
          <w:sz w:val="18"/>
          <w:szCs w:val="18"/>
        </w:rPr>
        <w:t xml:space="preserve">Abstract—Artificial intelligence systems are being used to make decisions in more areas. These areas include hiring, finance, education, healthcare and public administration.. These decisions can often be unfair to certain groups of people. This paper describes the ways to deal with unfairness in artificial intelligence. These ways include data and how it is shown, past and label issues how to measure and use proxies and problems that happen when the system is used. This study also talks about steps to reduce unfairness. These steps include checking data looking at fairness for groups making changes to models in a justified way having people watch over the process and keeping an eye on things all the time. The paper compares ways to measure fairness for groups. It also gives an overview of techniques used before during and, after the process. The main point of the paper is that fairness is not something that can be achieved by looking at overall numbers or by removing a sensitive feature. This study is a review of what others have written. It also offers a solution based on what was found. It does not present an experiment. </w:t>
      </w:r>
    </w:p>
    <w:p w14:paraId="0BD279DB" w14:textId="4CDCF6A4" w:rsidR="000625AE" w:rsidRDefault="000625AE" w:rsidP="000625AE">
      <w:pPr>
        <w:pStyle w:val="Heading1"/>
        <w:jc w:val="left"/>
        <w:rPr>
          <w:b/>
          <w:bCs/>
          <w:i/>
          <w:iCs/>
          <w:color w:val="auto"/>
          <w:sz w:val="18"/>
          <w:szCs w:val="18"/>
        </w:rPr>
      </w:pPr>
      <w:r w:rsidRPr="000625AE">
        <w:rPr>
          <w:b/>
          <w:bCs/>
          <w:i/>
          <w:iCs/>
          <w:color w:val="auto"/>
          <w:sz w:val="18"/>
          <w:szCs w:val="18"/>
        </w:rPr>
        <w:t>Index Terms—AI bias mitigation, AI, fairness, group fairness metrics, data quality, algorithmic accountability, human oversight</w:t>
      </w:r>
      <w:r w:rsidR="004C653E">
        <w:rPr>
          <w:b/>
          <w:bCs/>
          <w:i/>
          <w:iCs/>
          <w:color w:val="auto"/>
          <w:sz w:val="18"/>
          <w:szCs w:val="18"/>
        </w:rPr>
        <w:t>.</w:t>
      </w:r>
    </w:p>
    <w:p w14:paraId="2D020DA9" w14:textId="50A6031E" w:rsidR="001F40C6" w:rsidRDefault="00EC754C">
      <w:pPr>
        <w:pStyle w:val="Heading1"/>
      </w:pPr>
      <w:r>
        <w:rPr>
          <w:smallCaps/>
        </w:rPr>
        <w:t>I. Introduction</w:t>
      </w:r>
    </w:p>
    <w:p w14:paraId="42D2C8A3" w14:textId="77777777" w:rsidR="001F40C6" w:rsidRDefault="00EC754C">
      <w:pPr>
        <w:ind w:firstLine="288"/>
        <w:jc w:val="both"/>
      </w:pPr>
      <w:r>
        <w:t>AI systems learn patterns from examples and use them to classify, rank, predict or recommend. When those examples come from incomplete datasets, historical decisions, inconsistent labels or proxy features, a model can reproduce or even amplify unfairness [1]. Responsible AI guidance therefore recommends considering risks throughout the system lifecycle [2].</w:t>
      </w:r>
    </w:p>
    <w:p w14:paraId="2B67F08E" w14:textId="77777777" w:rsidR="001F40C6" w:rsidRDefault="00EC754C">
      <w:pPr>
        <w:ind w:firstLine="288"/>
        <w:jc w:val="both"/>
      </w:pPr>
      <w:r>
        <w:t>Documented cases show that the consequences are practical. A widely used health-risk algorithm underestimated the needs of Black patients because it used past healthcare cost as a proxy for health need [3]; commercial gender-classification systems showed much higher error rates for darker-skinned women than for lighter-skinned men [4]; and an experimental recruiting tool was reportedly withdrawn after it was found to penalise résumés associated with women [5]. In each case, aggregate performance concealed u</w:t>
      </w:r>
      <w:r>
        <w:t>nequal outcomes. Ethical guidance likewise emphasises fairness, human dignity and oversight [6].</w:t>
      </w:r>
    </w:p>
    <w:p w14:paraId="4D843B2C" w14:textId="77777777" w:rsidR="001F40C6" w:rsidRDefault="00EC754C">
      <w:pPr>
        <w:ind w:firstLine="288"/>
        <w:jc w:val="both"/>
      </w:pPr>
      <w:r>
        <w:t xml:space="preserve">This paper makes three contributions. First, it organises the sources of AI bias into four practical categories. Second, it </w:t>
      </w:r>
      <w:r>
        <w:t>proposes a five-stage workflow that links bias identification to mitigation, accountability and monitoring. Third, it discusses the limitations and trade-offs that prevent any single metric or technique from guaranteeing fairness. The remaining sections cover related work, sources of bias, identification, the workflow, an example, governance, an evaluation protocol, limitations and conclusions.</w:t>
      </w:r>
    </w:p>
    <w:p w14:paraId="64DEDAAD" w14:textId="77777777" w:rsidR="001F40C6" w:rsidRDefault="00EC754C">
      <w:pPr>
        <w:pStyle w:val="Heading1"/>
      </w:pPr>
      <w:r>
        <w:rPr>
          <w:smallCaps/>
        </w:rPr>
        <w:t>II. Related Work</w:t>
      </w:r>
    </w:p>
    <w:p w14:paraId="54781AEE" w14:textId="77777777" w:rsidR="001F40C6" w:rsidRDefault="00EC754C">
      <w:pPr>
        <w:ind w:firstLine="288"/>
        <w:jc w:val="both"/>
      </w:pPr>
      <w:r>
        <w:t>Research on algorithmic fairness has produced many definitions, metrics and methods, surveyed in [1]. Individual fairness asks that similar individuals be treated similarly [7], whereas group fairness criteria compare outcomes or error rates across groups [8], [9]. Impossibility results show that several group criteria cannot be satisfied together except in special cases [10], [11]. Investigative reporting on recidivism-prediction tools brought these tensions to wide public attention [12], and later work st</w:t>
      </w:r>
      <w:r>
        <w:t>ressed that choosing a criterion is a normative decision rather than a purely statistical one [13].</w:t>
      </w:r>
    </w:p>
    <w:p w14:paraId="1EADEE83" w14:textId="77777777" w:rsidR="001F40C6" w:rsidRDefault="00EC754C">
      <w:pPr>
        <w:ind w:firstLine="288"/>
        <w:jc w:val="both"/>
      </w:pPr>
      <w:r>
        <w:t xml:space="preserve">On the practical side, toolkits such as AI Fairness 360 and </w:t>
      </w:r>
      <w:proofErr w:type="spellStart"/>
      <w:r>
        <w:t>Fairlearn</w:t>
      </w:r>
      <w:proofErr w:type="spellEnd"/>
      <w:r>
        <w:t xml:space="preserve"> package metrics and mitigation algorithms [14], [15], while datasheets and model cards make data and model assumptions visible [16], [17]. Governance documents, including the NIST AI RMF, the UNESCO Recommendation and the EU AI Act, turn these ideas into organisational and legal expectations [2], [6], [18]. This paper does not propose a new algorithm; it integrates these strands into one stage-by-stage workflow.</w:t>
      </w:r>
    </w:p>
    <w:p w14:paraId="11A3C719" w14:textId="77777777" w:rsidR="001F40C6" w:rsidRDefault="00EC754C">
      <w:pPr>
        <w:pStyle w:val="Heading1"/>
      </w:pPr>
      <w:r>
        <w:rPr>
          <w:smallCaps/>
        </w:rPr>
        <w:t>III. Sources of AI Bias</w:t>
      </w:r>
    </w:p>
    <w:p w14:paraId="5319C3B3" w14:textId="77777777" w:rsidR="001F40C6" w:rsidRDefault="00EC754C">
      <w:pPr>
        <w:ind w:firstLine="288"/>
        <w:jc w:val="both"/>
      </w:pPr>
      <w:r>
        <w:t>Bias can enter a machine-learning system at several points of its life cycle [19]. We group the sources into four categories.</w:t>
      </w:r>
    </w:p>
    <w:p w14:paraId="1E759E05" w14:textId="77777777" w:rsidR="001F40C6" w:rsidRDefault="00EC754C">
      <w:pPr>
        <w:pStyle w:val="Heading2"/>
      </w:pPr>
      <w:r>
        <w:t>A. Data and Representation Bias</w:t>
      </w:r>
    </w:p>
    <w:p w14:paraId="213BE030" w14:textId="77777777" w:rsidR="001F40C6" w:rsidRDefault="00EC754C">
      <w:pPr>
        <w:ind w:firstLine="288"/>
        <w:jc w:val="both"/>
      </w:pPr>
      <w:r>
        <w:t>A dataset may not adequately represent the population or conditions in which the model will be used. Under-represented groups may receive less reliable results, so data provenance and representativeness should be reviewed before training [2], [4].</w:t>
      </w:r>
    </w:p>
    <w:p w14:paraId="11145806" w14:textId="77777777" w:rsidR="001F40C6" w:rsidRDefault="00EC754C">
      <w:pPr>
        <w:pStyle w:val="Heading2"/>
      </w:pPr>
      <w:r>
        <w:t>B. Historical and Label Bias</w:t>
      </w:r>
    </w:p>
    <w:p w14:paraId="548195B3" w14:textId="77777777" w:rsidR="001F40C6" w:rsidRDefault="00EC754C">
      <w:pPr>
        <w:ind w:firstLine="288"/>
        <w:jc w:val="both"/>
      </w:pPr>
      <w:r>
        <w:t>Historical data can contain earlier unequal treatment, and labels may reflect subjective judgements rather than the outcome the model is meant to predict. A model trained on such labels can faithfully repeat past patterns [19].</w:t>
      </w:r>
    </w:p>
    <w:p w14:paraId="0A58E4B9" w14:textId="77777777" w:rsidR="001F40C6" w:rsidRDefault="00EC754C">
      <w:pPr>
        <w:pStyle w:val="Heading2"/>
      </w:pPr>
      <w:r>
        <w:t>C. Measurement and Proxy Bias</w:t>
      </w:r>
    </w:p>
    <w:p w14:paraId="0F4B47E1" w14:textId="77777777" w:rsidR="001F40C6" w:rsidRDefault="00EC754C">
      <w:pPr>
        <w:ind w:firstLine="288"/>
        <w:jc w:val="both"/>
      </w:pPr>
      <w:r>
        <w:t>A measured variable may not represent the intended concept equally well for everyone, as when cost stands in for health need [3]. Apparently neutral features such as location or education history may act as proxies for sensitive characteristics, so deleting a sensitive column rarely removes the underlying signal. Fairness research also shows that the choice of metrics and assumptions affects conclusions about fairness [9], [13].</w:t>
      </w:r>
    </w:p>
    <w:p w14:paraId="56113ED4" w14:textId="77777777" w:rsidR="001F40C6" w:rsidRDefault="00EC754C">
      <w:pPr>
        <w:pStyle w:val="Heading2"/>
      </w:pPr>
      <w:r>
        <w:t>D. Deployment Bias</w:t>
      </w:r>
    </w:p>
    <w:p w14:paraId="6EA43EC7" w14:textId="77777777" w:rsidR="001F40C6" w:rsidRDefault="00EC754C">
      <w:pPr>
        <w:ind w:firstLine="288"/>
        <w:jc w:val="both"/>
      </w:pPr>
      <w:r>
        <w:t>A model may cause harm if it is used in a different setting from the one it was built for, treated as more reliable than it is, or allowed to influence important decisions without suitable human review [2], [6]. Feedback loops, where model outputs shape the data used later, can further entrench disparities.</w:t>
      </w:r>
    </w:p>
    <w:p w14:paraId="2E094A7C" w14:textId="77777777" w:rsidR="001F40C6" w:rsidRDefault="00EC754C">
      <w:pPr>
        <w:pStyle w:val="Heading1"/>
      </w:pPr>
      <w:r>
        <w:rPr>
          <w:smallCaps/>
        </w:rPr>
        <w:t>IV. Why Bias Mitigation Matters</w:t>
      </w:r>
    </w:p>
    <w:p w14:paraId="357B49FE" w14:textId="77777777" w:rsidR="001F40C6" w:rsidRDefault="00EC754C">
      <w:pPr>
        <w:ind w:firstLine="288"/>
        <w:jc w:val="both"/>
      </w:pPr>
      <w:r>
        <w:t>Unfair outcomes can disadvantage people, reduce trust and create ethical, reputational and legal concerns, and overall accuracy can hide them. The NIST AI Risk Management Framework recommends managing AI risks across design, development, deployment and evaluation [2].</w:t>
      </w:r>
    </w:p>
    <w:p w14:paraId="55D27209" w14:textId="77777777" w:rsidR="001F40C6" w:rsidRDefault="00EC754C">
      <w:pPr>
        <w:ind w:firstLine="288"/>
        <w:jc w:val="both"/>
      </w:pPr>
      <w:r>
        <w:t>Bias mitigation is both a technical and an organisational responsibility. Data scientists measure model behaviour, domain experts assess features and labels, and decision-makers should give affected people ways to question decisions. UNESCO places AI ethics within a broader human-rights and societal context [6].</w:t>
      </w:r>
    </w:p>
    <w:p w14:paraId="056D982B" w14:textId="77777777" w:rsidR="001F40C6" w:rsidRDefault="00EC754C">
      <w:pPr>
        <w:ind w:firstLine="288"/>
        <w:jc w:val="both"/>
      </w:pPr>
      <w:r>
        <w:t>The risks differ by domain. In recruitment, label and proxy bias can shape who is shortlisted [5]; in lending and insurance, historical decisions and location-based features may encode past exclusion; in healthcare, a poor proxy for need can misallocate care [3]; and in education, uneven data across institutions may disadvantage some learners. Public-service systems add a duty of explanation, since affected people often have no alternative provider.</w:t>
      </w:r>
    </w:p>
    <w:p w14:paraId="58735561" w14:textId="77777777" w:rsidR="001F40C6" w:rsidRDefault="00EC754C">
      <w:pPr>
        <w:pStyle w:val="Heading1"/>
      </w:pPr>
      <w:r>
        <w:rPr>
          <w:smallCaps/>
        </w:rPr>
        <w:t>V. Identifying Bias</w:t>
      </w:r>
    </w:p>
    <w:p w14:paraId="5B9F4713" w14:textId="77777777" w:rsidR="001F40C6" w:rsidRDefault="00EC754C">
      <w:pPr>
        <w:pStyle w:val="Heading2"/>
      </w:pPr>
      <w:r>
        <w:t>A. Audit Data and Labels</w:t>
      </w:r>
    </w:p>
    <w:p w14:paraId="08767FC5" w14:textId="77777777" w:rsidR="001F40C6" w:rsidRDefault="00EC754C">
      <w:pPr>
        <w:ind w:firstLine="288"/>
        <w:jc w:val="both"/>
      </w:pPr>
      <w:r>
        <w:t>Teams should document data sources, collection methods and label definitions, for example through datasheets for datasets [16], then check missing values, duplicates, representation, class imbalance and fit to the intended use. Historical outcomes should not automatically be treated as ideal examples [2], [9].</w:t>
      </w:r>
    </w:p>
    <w:p w14:paraId="45105034" w14:textId="77777777" w:rsidR="001F40C6" w:rsidRDefault="00EC754C">
      <w:pPr>
        <w:pStyle w:val="Heading2"/>
      </w:pPr>
      <w:r>
        <w:t>B. Compare Performance Across Groups</w:t>
      </w:r>
    </w:p>
    <w:p w14:paraId="1DE1B81B" w14:textId="77777777" w:rsidR="001F40C6" w:rsidRDefault="00EC754C">
      <w:pPr>
        <w:ind w:firstLine="288"/>
        <w:jc w:val="both"/>
      </w:pPr>
      <w:r>
        <w:t xml:space="preserve">Where lawful and privacy-protective, group-wise checks can compare selection rates, true-positive rates, false-positive rates and precision (Table I). Let </w:t>
      </w:r>
      <w:r>
        <w:rPr>
          <w:i/>
          <w:iCs/>
        </w:rPr>
        <w:t>A</w:t>
      </w:r>
      <w:r>
        <w:t xml:space="preserve"> denote group membership, </w:t>
      </w:r>
      <w:r>
        <w:rPr>
          <w:i/>
          <w:iCs/>
        </w:rPr>
        <w:t>Ŷ</w:t>
      </w:r>
      <w:r>
        <w:t xml:space="preserve"> the model prediction and </w:t>
      </w:r>
      <w:r>
        <w:rPr>
          <w:i/>
          <w:iCs/>
        </w:rPr>
        <w:t>Y</w:t>
      </w:r>
      <w:r>
        <w:t xml:space="preserve"> the true outcome. Two common gaps between groups </w:t>
      </w:r>
      <w:r>
        <w:rPr>
          <w:i/>
          <w:iCs/>
        </w:rPr>
        <w:t>a</w:t>
      </w:r>
      <w:r>
        <w:t xml:space="preserve"> and </w:t>
      </w:r>
      <w:r>
        <w:rPr>
          <w:i/>
          <w:iCs/>
        </w:rPr>
        <w:t>b</w:t>
      </w:r>
      <w:r>
        <w:t xml:space="preserve"> are</w:t>
      </w:r>
    </w:p>
    <w:p w14:paraId="776095C8" w14:textId="77777777" w:rsidR="001F40C6" w:rsidRDefault="00EC754C">
      <w:pPr>
        <w:tabs>
          <w:tab w:val="center" w:pos="2510"/>
          <w:tab w:val="right" w:pos="5021"/>
        </w:tabs>
        <w:spacing w:after="20"/>
      </w:pPr>
      <w:r>
        <w:rPr>
          <w:i/>
          <w:iCs/>
        </w:rPr>
        <w:tab/>
        <w:t>ΔSR = P(Ŷ=1|A=a) − P(Ŷ=1|A=b)</w:t>
      </w:r>
      <w:r>
        <w:tab/>
        <w:t>(1)</w:t>
      </w:r>
    </w:p>
    <w:p w14:paraId="4F5F1FC7" w14:textId="77777777" w:rsidR="001F40C6" w:rsidRDefault="00EC754C">
      <w:pPr>
        <w:tabs>
          <w:tab w:val="center" w:pos="2510"/>
          <w:tab w:val="right" w:pos="5021"/>
        </w:tabs>
        <w:spacing w:after="20"/>
      </w:pPr>
      <w:r>
        <w:rPr>
          <w:i/>
          <w:iCs/>
        </w:rPr>
        <w:tab/>
        <w:t>ΔTPR = P(Ŷ=1|Y=1,A=a) − P(Ŷ=1|Y=1,A=b)</w:t>
      </w:r>
      <w:r>
        <w:tab/>
        <w:t>(2)</w:t>
      </w:r>
    </w:p>
    <w:p w14:paraId="0F52F488" w14:textId="77777777" w:rsidR="001F40C6" w:rsidRDefault="00EC754C">
      <w:pPr>
        <w:jc w:val="both"/>
      </w:pPr>
      <w:r>
        <w:t>Sample sizes and uncertainty, such as confidence intervals, should be reported. A gap is a signal to investigate, not a complete explanation or a legal judgement, because fairness metrics have assumptions and trade-offs [9], [8].</w:t>
      </w:r>
    </w:p>
    <w:p w14:paraId="7C7BB3B5" w14:textId="77777777" w:rsidR="001F40C6" w:rsidRDefault="00EC754C">
      <w:pPr>
        <w:keepNext/>
        <w:spacing w:before="60"/>
        <w:jc w:val="center"/>
      </w:pPr>
      <w:r>
        <w:rPr>
          <w:smallCaps/>
          <w:sz w:val="16"/>
          <w:szCs w:val="16"/>
        </w:rPr>
        <w:t>TABLE I</w:t>
      </w:r>
    </w:p>
    <w:p w14:paraId="30AA30B3" w14:textId="77777777" w:rsidR="001F40C6" w:rsidRDefault="00EC754C">
      <w:pPr>
        <w:keepNext/>
        <w:spacing w:after="40"/>
        <w:jc w:val="center"/>
      </w:pPr>
      <w:r>
        <w:rPr>
          <w:smallCaps/>
          <w:sz w:val="16"/>
          <w:szCs w:val="16"/>
        </w:rPr>
        <w:t>Common Group-Wise Fairness Checks</w:t>
      </w:r>
    </w:p>
    <w:tbl>
      <w:tblPr>
        <w:tblW w:w="50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40"/>
        <w:gridCol w:w="1710"/>
        <w:gridCol w:w="1971"/>
      </w:tblGrid>
      <w:tr w:rsidR="001F40C6" w14:paraId="03045DE5" w14:textId="77777777">
        <w:trPr>
          <w:cantSplit/>
        </w:trPr>
        <w:tc>
          <w:tcPr>
            <w:tcW w:w="134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0C1B05F1" w14:textId="77777777" w:rsidR="001F40C6" w:rsidRDefault="00EC754C">
            <w:pPr>
              <w:spacing w:line="200" w:lineRule="auto"/>
              <w:jc w:val="center"/>
            </w:pPr>
            <w:r>
              <w:rPr>
                <w:smallCaps/>
                <w:sz w:val="16"/>
                <w:szCs w:val="16"/>
              </w:rPr>
              <w:t>Metric</w:t>
            </w:r>
          </w:p>
        </w:tc>
        <w:tc>
          <w:tcPr>
            <w:tcW w:w="171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03BFA9E6" w14:textId="77777777" w:rsidR="001F40C6" w:rsidRDefault="00EC754C">
            <w:pPr>
              <w:spacing w:line="200" w:lineRule="auto"/>
              <w:jc w:val="center"/>
            </w:pPr>
            <w:r>
              <w:rPr>
                <w:smallCaps/>
                <w:sz w:val="16"/>
                <w:szCs w:val="16"/>
              </w:rPr>
              <w:t>What it compares</w:t>
            </w:r>
          </w:p>
        </w:tc>
        <w:tc>
          <w:tcPr>
            <w:tcW w:w="1971"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6AE58AA2" w14:textId="77777777" w:rsidR="001F40C6" w:rsidRDefault="00EC754C">
            <w:pPr>
              <w:spacing w:line="200" w:lineRule="auto"/>
              <w:jc w:val="center"/>
            </w:pPr>
            <w:r>
              <w:rPr>
                <w:smallCaps/>
                <w:sz w:val="16"/>
                <w:szCs w:val="16"/>
              </w:rPr>
              <w:t>Caution</w:t>
            </w:r>
          </w:p>
        </w:tc>
      </w:tr>
      <w:tr w:rsidR="001F40C6" w14:paraId="046073DB" w14:textId="77777777">
        <w:trPr>
          <w:cantSplit/>
        </w:trPr>
        <w:tc>
          <w:tcPr>
            <w:tcW w:w="134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5992C32D" w14:textId="77777777" w:rsidR="001F40C6" w:rsidRDefault="00EC754C">
            <w:pPr>
              <w:spacing w:line="200" w:lineRule="auto"/>
            </w:pPr>
            <w:r>
              <w:rPr>
                <w:sz w:val="16"/>
                <w:szCs w:val="16"/>
              </w:rPr>
              <w:t>Selection rate (demographic parity)</w:t>
            </w:r>
          </w:p>
        </w:tc>
        <w:tc>
          <w:tcPr>
            <w:tcW w:w="171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6E567CE6" w14:textId="77777777" w:rsidR="001F40C6" w:rsidRDefault="00EC754C">
            <w:pPr>
              <w:spacing w:line="200" w:lineRule="auto"/>
            </w:pPr>
            <w:r>
              <w:rPr>
                <w:sz w:val="16"/>
                <w:szCs w:val="16"/>
              </w:rPr>
              <w:t>Share of each group receiving the positive outcome</w:t>
            </w:r>
          </w:p>
        </w:tc>
        <w:tc>
          <w:tcPr>
            <w:tcW w:w="1971"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07027573" w14:textId="77777777" w:rsidR="001F40C6" w:rsidRDefault="00EC754C">
            <w:pPr>
              <w:spacing w:line="200" w:lineRule="auto"/>
            </w:pPr>
            <w:r>
              <w:rPr>
                <w:sz w:val="16"/>
                <w:szCs w:val="16"/>
              </w:rPr>
              <w:t>Ignores real differences in qualification</w:t>
            </w:r>
          </w:p>
        </w:tc>
      </w:tr>
      <w:tr w:rsidR="001F40C6" w14:paraId="7F02937A" w14:textId="77777777">
        <w:trPr>
          <w:cantSplit/>
        </w:trPr>
        <w:tc>
          <w:tcPr>
            <w:tcW w:w="134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03493915" w14:textId="77777777" w:rsidR="001F40C6" w:rsidRDefault="00EC754C">
            <w:pPr>
              <w:spacing w:line="200" w:lineRule="auto"/>
            </w:pPr>
            <w:r>
              <w:rPr>
                <w:sz w:val="16"/>
                <w:szCs w:val="16"/>
              </w:rPr>
              <w:t>True-positive rate (equal opportunity) [8]</w:t>
            </w:r>
          </w:p>
        </w:tc>
        <w:tc>
          <w:tcPr>
            <w:tcW w:w="171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2B1F87AA" w14:textId="77777777" w:rsidR="001F40C6" w:rsidRDefault="00EC754C">
            <w:pPr>
              <w:spacing w:line="200" w:lineRule="auto"/>
            </w:pPr>
            <w:r>
              <w:rPr>
                <w:sz w:val="16"/>
                <w:szCs w:val="16"/>
              </w:rPr>
              <w:t>Qualified people correctly selected, per group</w:t>
            </w:r>
          </w:p>
        </w:tc>
        <w:tc>
          <w:tcPr>
            <w:tcW w:w="1971"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73A43E9A" w14:textId="77777777" w:rsidR="001F40C6" w:rsidRDefault="00EC754C">
            <w:pPr>
              <w:spacing w:line="200" w:lineRule="auto"/>
            </w:pPr>
            <w:r>
              <w:rPr>
                <w:sz w:val="16"/>
                <w:szCs w:val="16"/>
              </w:rPr>
              <w:t>Needs reliable ground-truth labels</w:t>
            </w:r>
          </w:p>
        </w:tc>
      </w:tr>
      <w:tr w:rsidR="001F40C6" w14:paraId="6C2D9C2D" w14:textId="77777777">
        <w:trPr>
          <w:cantSplit/>
        </w:trPr>
        <w:tc>
          <w:tcPr>
            <w:tcW w:w="134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20E0A123" w14:textId="77777777" w:rsidR="001F40C6" w:rsidRDefault="00EC754C">
            <w:pPr>
              <w:spacing w:line="200" w:lineRule="auto"/>
            </w:pPr>
            <w:r>
              <w:rPr>
                <w:sz w:val="16"/>
                <w:szCs w:val="16"/>
              </w:rPr>
              <w:t>False-positive rate (with TPR: equalized odds)</w:t>
            </w:r>
          </w:p>
        </w:tc>
        <w:tc>
          <w:tcPr>
            <w:tcW w:w="171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64929241" w14:textId="77777777" w:rsidR="001F40C6" w:rsidRDefault="00EC754C">
            <w:pPr>
              <w:spacing w:line="200" w:lineRule="auto"/>
            </w:pPr>
            <w:r>
              <w:rPr>
                <w:sz w:val="16"/>
                <w:szCs w:val="16"/>
              </w:rPr>
              <w:t>Unqualified people wrongly selected, per group</w:t>
            </w:r>
          </w:p>
        </w:tc>
        <w:tc>
          <w:tcPr>
            <w:tcW w:w="1971"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6601BFF2" w14:textId="77777777" w:rsidR="001F40C6" w:rsidRDefault="00EC754C">
            <w:pPr>
              <w:spacing w:line="200" w:lineRule="auto"/>
            </w:pPr>
            <w:r>
              <w:rPr>
                <w:sz w:val="16"/>
                <w:szCs w:val="16"/>
              </w:rPr>
              <w:t>Both error rates must be balanced</w:t>
            </w:r>
          </w:p>
        </w:tc>
      </w:tr>
      <w:tr w:rsidR="001F40C6" w14:paraId="4ADBFC51" w14:textId="77777777">
        <w:trPr>
          <w:cantSplit/>
        </w:trPr>
        <w:tc>
          <w:tcPr>
            <w:tcW w:w="134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2CCD4E74" w14:textId="77777777" w:rsidR="001F40C6" w:rsidRDefault="00EC754C">
            <w:pPr>
              <w:spacing w:line="200" w:lineRule="auto"/>
            </w:pPr>
            <w:r>
              <w:rPr>
                <w:sz w:val="16"/>
                <w:szCs w:val="16"/>
              </w:rPr>
              <w:t>Precision (predictive parity)</w:t>
            </w:r>
          </w:p>
        </w:tc>
        <w:tc>
          <w:tcPr>
            <w:tcW w:w="171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5B478564" w14:textId="77777777" w:rsidR="001F40C6" w:rsidRDefault="00EC754C">
            <w:pPr>
              <w:spacing w:line="200" w:lineRule="auto"/>
            </w:pPr>
            <w:r>
              <w:rPr>
                <w:sz w:val="16"/>
                <w:szCs w:val="16"/>
              </w:rPr>
              <w:t>Correctness of positive predictions, per group</w:t>
            </w:r>
          </w:p>
        </w:tc>
        <w:tc>
          <w:tcPr>
            <w:tcW w:w="1971"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61D53195" w14:textId="77777777" w:rsidR="001F40C6" w:rsidRDefault="00EC754C">
            <w:pPr>
              <w:spacing w:line="200" w:lineRule="auto"/>
            </w:pPr>
            <w:r>
              <w:rPr>
                <w:sz w:val="16"/>
                <w:szCs w:val="16"/>
              </w:rPr>
              <w:t>Can conflict with error-rate balance [11]</w:t>
            </w:r>
          </w:p>
        </w:tc>
      </w:tr>
      <w:tr w:rsidR="001F40C6" w14:paraId="5237FFAE" w14:textId="77777777">
        <w:trPr>
          <w:cantSplit/>
        </w:trPr>
        <w:tc>
          <w:tcPr>
            <w:tcW w:w="134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746B8B6F" w14:textId="77777777" w:rsidR="001F40C6" w:rsidRDefault="00EC754C">
            <w:pPr>
              <w:spacing w:line="200" w:lineRule="auto"/>
            </w:pPr>
            <w:r>
              <w:rPr>
                <w:sz w:val="16"/>
                <w:szCs w:val="16"/>
              </w:rPr>
              <w:t>Calibration</w:t>
            </w:r>
          </w:p>
        </w:tc>
        <w:tc>
          <w:tcPr>
            <w:tcW w:w="171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5CD123A0" w14:textId="77777777" w:rsidR="001F40C6" w:rsidRDefault="00EC754C">
            <w:pPr>
              <w:spacing w:line="200" w:lineRule="auto"/>
            </w:pPr>
            <w:r>
              <w:rPr>
                <w:sz w:val="16"/>
                <w:szCs w:val="16"/>
              </w:rPr>
              <w:t>Whether a score means the same risk in each group</w:t>
            </w:r>
          </w:p>
        </w:tc>
        <w:tc>
          <w:tcPr>
            <w:tcW w:w="1971"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5E50862B" w14:textId="77777777" w:rsidR="001F40C6" w:rsidRDefault="00EC754C">
            <w:pPr>
              <w:spacing w:line="200" w:lineRule="auto"/>
            </w:pPr>
            <w:r>
              <w:rPr>
                <w:sz w:val="16"/>
                <w:szCs w:val="16"/>
              </w:rPr>
              <w:t>Generally cannot hold with equal error rates [10]</w:t>
            </w:r>
          </w:p>
        </w:tc>
      </w:tr>
    </w:tbl>
    <w:p w14:paraId="49588ACE" w14:textId="77777777" w:rsidR="001F40C6" w:rsidRDefault="001F40C6">
      <w:pPr>
        <w:spacing w:after="40"/>
      </w:pPr>
    </w:p>
    <w:p w14:paraId="64D1DD72" w14:textId="77777777" w:rsidR="001F40C6" w:rsidRDefault="00EC754C">
      <w:pPr>
        <w:pStyle w:val="Heading2"/>
      </w:pPr>
      <w:r>
        <w:t>C. Review Features and Cases</w:t>
      </w:r>
    </w:p>
    <w:p w14:paraId="62294BBC" w14:textId="77777777" w:rsidR="001F40C6" w:rsidRDefault="00EC754C">
      <w:pPr>
        <w:ind w:firstLine="288"/>
        <w:jc w:val="both"/>
      </w:pPr>
      <w:r>
        <w:t>Teams should check whether features are relevant and justified. Explanations and case reviews may reveal proxy variables, but an explanation alone does not prove fairness; it must be considered with data quality and outcomes [2], [9]. Recording intended use and group-wise results in model cards supports this review [17].</w:t>
      </w:r>
    </w:p>
    <w:p w14:paraId="654B45A9" w14:textId="77777777" w:rsidR="001F40C6" w:rsidRDefault="00EC754C">
      <w:pPr>
        <w:pStyle w:val="Heading1"/>
      </w:pPr>
      <w:r>
        <w:rPr>
          <w:smallCaps/>
        </w:rPr>
        <w:t>VI. Proposed Mitigation Workflow</w:t>
      </w:r>
    </w:p>
    <w:p w14:paraId="13BC407C" w14:textId="77777777" w:rsidR="001F40C6" w:rsidRDefault="00EC754C">
      <w:pPr>
        <w:ind w:firstLine="288"/>
        <w:jc w:val="both"/>
      </w:pPr>
      <w:r>
        <w:t>Fig. 1 summarises the proposed workflow. After intended use and fairness criteria are defined, five stages follow, each producing documented evidence for the next, and monitoring findings feed back into earlier stages.</w:t>
      </w:r>
    </w:p>
    <w:p w14:paraId="38029197" w14:textId="77777777" w:rsidR="001F40C6" w:rsidRDefault="00EC754C">
      <w:pPr>
        <w:keepNext/>
        <w:spacing w:before="40" w:after="20"/>
        <w:jc w:val="center"/>
      </w:pPr>
      <w:r>
        <w:rPr>
          <w:noProof/>
        </w:rPr>
        <w:drawing>
          <wp:inline distT="0" distB="0" distL="0" distR="0" wp14:anchorId="2B68EFD0" wp14:editId="73C4D27B">
            <wp:extent cx="2667000" cy="2000250"/>
            <wp:effectExtent l="0" t="0" r="0" b="0"/>
            <wp:docPr id="1" name="fig1" descr="Five-stage AI bias mitigation workflow with feedback loop" title="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667000" cy="2000250"/>
                    </a:xfrm>
                    <a:prstGeom prst="rect">
                      <a:avLst/>
                    </a:prstGeom>
                  </pic:spPr>
                </pic:pic>
              </a:graphicData>
            </a:graphic>
          </wp:inline>
        </w:drawing>
      </w:r>
    </w:p>
    <w:p w14:paraId="55981EB4" w14:textId="77777777" w:rsidR="001F40C6" w:rsidRDefault="00EC754C">
      <w:pPr>
        <w:spacing w:after="80"/>
        <w:jc w:val="center"/>
      </w:pPr>
      <w:r>
        <w:rPr>
          <w:sz w:val="16"/>
          <w:szCs w:val="16"/>
        </w:rPr>
        <w:t>Fig. 1. Proposed five-stage bias mitigation workflow with a monitoring feedback loop.</w:t>
      </w:r>
    </w:p>
    <w:p w14:paraId="47DEB8DB" w14:textId="77777777" w:rsidR="001F40C6" w:rsidRDefault="00EC754C">
      <w:pPr>
        <w:pStyle w:val="Heading2"/>
      </w:pPr>
      <w:r>
        <w:t>A. Improve the Data</w:t>
      </w:r>
    </w:p>
    <w:p w14:paraId="46667EC1" w14:textId="77777777" w:rsidR="001F40C6" w:rsidRDefault="00EC754C">
      <w:pPr>
        <w:ind w:firstLine="288"/>
        <w:jc w:val="both"/>
      </w:pPr>
      <w:r>
        <w:t>Correct data errors, improve representation, document missing information and review how labels were created. Sensitive data should be used for auditing only with a legitimate basis and suitable protection.</w:t>
      </w:r>
    </w:p>
    <w:p w14:paraId="651979BE" w14:textId="77777777" w:rsidR="001F40C6" w:rsidRDefault="00EC754C">
      <w:pPr>
        <w:pStyle w:val="Heading2"/>
      </w:pPr>
      <w:r>
        <w:t>B. Modify Model Training</w:t>
      </w:r>
    </w:p>
    <w:p w14:paraId="1D6060BE" w14:textId="77777777" w:rsidR="001F40C6" w:rsidRDefault="00EC754C">
      <w:pPr>
        <w:ind w:firstLine="288"/>
        <w:jc w:val="both"/>
      </w:pPr>
      <w:r>
        <w:t xml:space="preserve">Methods are commonly grouped by where they act (Table II). </w:t>
      </w:r>
      <w:r>
        <w:rPr>
          <w:i/>
          <w:iCs/>
        </w:rPr>
        <w:t>Pre-processing</w:t>
      </w:r>
      <w:r>
        <w:t xml:space="preserve"> changes the data, for example by reweighting or resampling examples [20]. </w:t>
      </w:r>
      <w:r>
        <w:rPr>
          <w:i/>
          <w:iCs/>
        </w:rPr>
        <w:t>In-processing</w:t>
      </w:r>
      <w:r>
        <w:t xml:space="preserve"> changes the learning objective, for example through adversarial </w:t>
      </w:r>
      <w:proofErr w:type="spellStart"/>
      <w:r>
        <w:t>debiasing</w:t>
      </w:r>
      <w:proofErr w:type="spellEnd"/>
      <w:r>
        <w:t xml:space="preserve"> or fairness constraints [21]. </w:t>
      </w:r>
      <w:r>
        <w:rPr>
          <w:i/>
          <w:iCs/>
        </w:rPr>
        <w:t>Post-processing</w:t>
      </w:r>
      <w:r>
        <w:t xml:space="preserve"> adjusts outputs, for example with group-specific decision thresholds [8], which may be restricted in some legal settings. Removing unjustified features is another option, and open-source toolkits implement many of these methods [14]. Each intervention needs a clear rationale and an evaluation for unintended effects, and the choice should reflect the fairness definition and the data limitations.</w:t>
      </w:r>
    </w:p>
    <w:p w14:paraId="156C1006" w14:textId="77777777" w:rsidR="001F40C6" w:rsidRDefault="00EC754C">
      <w:pPr>
        <w:keepNext/>
        <w:spacing w:before="60"/>
        <w:jc w:val="center"/>
      </w:pPr>
      <w:r>
        <w:rPr>
          <w:smallCaps/>
          <w:sz w:val="16"/>
          <w:szCs w:val="16"/>
        </w:rPr>
        <w:t>TABLE II</w:t>
      </w:r>
    </w:p>
    <w:p w14:paraId="6DAF7617" w14:textId="77777777" w:rsidR="001F40C6" w:rsidRDefault="00EC754C">
      <w:pPr>
        <w:keepNext/>
        <w:spacing w:after="40"/>
        <w:jc w:val="center"/>
      </w:pPr>
      <w:r>
        <w:rPr>
          <w:smallCaps/>
          <w:sz w:val="16"/>
          <w:szCs w:val="16"/>
        </w:rPr>
        <w:t>Categories of Bias Mitigation Techniques</w:t>
      </w:r>
    </w:p>
    <w:tbl>
      <w:tblPr>
        <w:tblW w:w="50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0"/>
        <w:gridCol w:w="2030"/>
        <w:gridCol w:w="1921"/>
      </w:tblGrid>
      <w:tr w:rsidR="001F40C6" w14:paraId="555AAFFA" w14:textId="77777777">
        <w:trPr>
          <w:cantSplit/>
        </w:trPr>
        <w:tc>
          <w:tcPr>
            <w:tcW w:w="107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7F524E3B" w14:textId="77777777" w:rsidR="001F40C6" w:rsidRDefault="00EC754C">
            <w:pPr>
              <w:spacing w:line="200" w:lineRule="auto"/>
              <w:jc w:val="center"/>
            </w:pPr>
            <w:r>
              <w:rPr>
                <w:smallCaps/>
                <w:sz w:val="16"/>
                <w:szCs w:val="16"/>
              </w:rPr>
              <w:t>Stage</w:t>
            </w:r>
          </w:p>
        </w:tc>
        <w:tc>
          <w:tcPr>
            <w:tcW w:w="203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139033A2" w14:textId="77777777" w:rsidR="001F40C6" w:rsidRDefault="00EC754C">
            <w:pPr>
              <w:spacing w:line="200" w:lineRule="auto"/>
              <w:jc w:val="center"/>
            </w:pPr>
            <w:r>
              <w:rPr>
                <w:smallCaps/>
                <w:sz w:val="16"/>
                <w:szCs w:val="16"/>
              </w:rPr>
              <w:t>Example methods</w:t>
            </w:r>
          </w:p>
        </w:tc>
        <w:tc>
          <w:tcPr>
            <w:tcW w:w="1921"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1E198D9E" w14:textId="77777777" w:rsidR="001F40C6" w:rsidRDefault="00EC754C">
            <w:pPr>
              <w:spacing w:line="200" w:lineRule="auto"/>
              <w:jc w:val="center"/>
            </w:pPr>
            <w:r>
              <w:rPr>
                <w:smallCaps/>
                <w:sz w:val="16"/>
                <w:szCs w:val="16"/>
              </w:rPr>
              <w:t>Main trade-off</w:t>
            </w:r>
          </w:p>
        </w:tc>
      </w:tr>
      <w:tr w:rsidR="001F40C6" w14:paraId="128D3C81" w14:textId="77777777">
        <w:trPr>
          <w:cantSplit/>
        </w:trPr>
        <w:tc>
          <w:tcPr>
            <w:tcW w:w="107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131DF1E6" w14:textId="77777777" w:rsidR="001F40C6" w:rsidRDefault="00EC754C">
            <w:pPr>
              <w:spacing w:line="200" w:lineRule="auto"/>
            </w:pPr>
            <w:r>
              <w:rPr>
                <w:sz w:val="16"/>
                <w:szCs w:val="16"/>
              </w:rPr>
              <w:t>Pre-processing</w:t>
            </w:r>
          </w:p>
        </w:tc>
        <w:tc>
          <w:tcPr>
            <w:tcW w:w="203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7ED5C37E" w14:textId="77777777" w:rsidR="001F40C6" w:rsidRDefault="00EC754C">
            <w:pPr>
              <w:spacing w:line="200" w:lineRule="auto"/>
            </w:pPr>
            <w:r>
              <w:rPr>
                <w:sz w:val="16"/>
                <w:szCs w:val="16"/>
              </w:rPr>
              <w:t>Reweighting, resampling, label correction</w:t>
            </w:r>
          </w:p>
        </w:tc>
        <w:tc>
          <w:tcPr>
            <w:tcW w:w="1921"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69B9A8CA" w14:textId="77777777" w:rsidR="001F40C6" w:rsidRDefault="00EC754C">
            <w:pPr>
              <w:spacing w:line="200" w:lineRule="auto"/>
            </w:pPr>
            <w:r>
              <w:rPr>
                <w:sz w:val="16"/>
                <w:szCs w:val="16"/>
              </w:rPr>
              <w:t>Cannot fix biased labels unless they are reviewed</w:t>
            </w:r>
          </w:p>
        </w:tc>
      </w:tr>
      <w:tr w:rsidR="001F40C6" w14:paraId="46683007" w14:textId="77777777">
        <w:trPr>
          <w:cantSplit/>
        </w:trPr>
        <w:tc>
          <w:tcPr>
            <w:tcW w:w="107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4F56E2A6" w14:textId="77777777" w:rsidR="001F40C6" w:rsidRDefault="00EC754C">
            <w:pPr>
              <w:spacing w:line="200" w:lineRule="auto"/>
            </w:pPr>
            <w:r>
              <w:rPr>
                <w:sz w:val="16"/>
                <w:szCs w:val="16"/>
              </w:rPr>
              <w:t>In-processing</w:t>
            </w:r>
          </w:p>
        </w:tc>
        <w:tc>
          <w:tcPr>
            <w:tcW w:w="203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5341E693" w14:textId="77777777" w:rsidR="001F40C6" w:rsidRDefault="00EC754C">
            <w:pPr>
              <w:spacing w:line="200" w:lineRule="auto"/>
            </w:pPr>
            <w:r>
              <w:rPr>
                <w:sz w:val="16"/>
                <w:szCs w:val="16"/>
              </w:rPr>
              <w:t xml:space="preserve">Fairness constraints, adversarial </w:t>
            </w:r>
            <w:proofErr w:type="spellStart"/>
            <w:r>
              <w:rPr>
                <w:sz w:val="16"/>
                <w:szCs w:val="16"/>
              </w:rPr>
              <w:t>debiasing</w:t>
            </w:r>
            <w:proofErr w:type="spellEnd"/>
          </w:p>
        </w:tc>
        <w:tc>
          <w:tcPr>
            <w:tcW w:w="1921"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2237814D" w14:textId="77777777" w:rsidR="001F40C6" w:rsidRDefault="00EC754C">
            <w:pPr>
              <w:spacing w:line="200" w:lineRule="auto"/>
            </w:pPr>
            <w:r>
              <w:rPr>
                <w:sz w:val="16"/>
                <w:szCs w:val="16"/>
              </w:rPr>
              <w:t>Needs control of training; may lower accuracy</w:t>
            </w:r>
          </w:p>
        </w:tc>
      </w:tr>
      <w:tr w:rsidR="001F40C6" w14:paraId="42C875DC" w14:textId="77777777">
        <w:trPr>
          <w:cantSplit/>
        </w:trPr>
        <w:tc>
          <w:tcPr>
            <w:tcW w:w="107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26075A35" w14:textId="77777777" w:rsidR="001F40C6" w:rsidRDefault="00EC754C">
            <w:pPr>
              <w:spacing w:line="200" w:lineRule="auto"/>
            </w:pPr>
            <w:r>
              <w:rPr>
                <w:sz w:val="16"/>
                <w:szCs w:val="16"/>
              </w:rPr>
              <w:t>Post-processing</w:t>
            </w:r>
          </w:p>
        </w:tc>
        <w:tc>
          <w:tcPr>
            <w:tcW w:w="2030"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031C58AF" w14:textId="77777777" w:rsidR="001F40C6" w:rsidRDefault="00EC754C">
            <w:pPr>
              <w:spacing w:line="200" w:lineRule="auto"/>
            </w:pPr>
            <w:r>
              <w:rPr>
                <w:sz w:val="16"/>
                <w:szCs w:val="16"/>
              </w:rPr>
              <w:t>Group-specific thresholds, output adjustment</w:t>
            </w:r>
          </w:p>
        </w:tc>
        <w:tc>
          <w:tcPr>
            <w:tcW w:w="1921"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7182D23E" w14:textId="77777777" w:rsidR="001F40C6" w:rsidRDefault="00EC754C">
            <w:pPr>
              <w:spacing w:line="200" w:lineRule="auto"/>
            </w:pPr>
            <w:r>
              <w:rPr>
                <w:sz w:val="16"/>
                <w:szCs w:val="16"/>
              </w:rPr>
              <w:t>Needs group data at decision time; legal limits</w:t>
            </w:r>
          </w:p>
        </w:tc>
      </w:tr>
    </w:tbl>
    <w:p w14:paraId="1F5E4188" w14:textId="77777777" w:rsidR="001F40C6" w:rsidRDefault="001F40C6">
      <w:pPr>
        <w:spacing w:after="40"/>
      </w:pPr>
    </w:p>
    <w:p w14:paraId="7E04B241" w14:textId="77777777" w:rsidR="001F40C6" w:rsidRDefault="00EC754C">
      <w:pPr>
        <w:pStyle w:val="Heading2"/>
      </w:pPr>
      <w:r>
        <w:t>C. Evaluate Trade-offs</w:t>
      </w:r>
    </w:p>
    <w:p w14:paraId="15375C21" w14:textId="77777777" w:rsidR="001F40C6" w:rsidRDefault="00EC754C">
      <w:pPr>
        <w:ind w:firstLine="288"/>
        <w:jc w:val="both"/>
      </w:pPr>
      <w:r>
        <w:t>Revised models should be tested on data not used for training or tuning, reporting overall performance and group-wise measures. Several fairness criteria cannot generally be satisfied together when base rates differ between groups [10], [11], so the team must explain why the chosen measures suit the application.</w:t>
      </w:r>
    </w:p>
    <w:p w14:paraId="07D622DA" w14:textId="77777777" w:rsidR="001F40C6" w:rsidRDefault="00EC754C">
      <w:pPr>
        <w:pStyle w:val="Heading2"/>
      </w:pPr>
      <w:r>
        <w:t>D. Keep Humans Accountable</w:t>
      </w:r>
    </w:p>
    <w:p w14:paraId="3D03B5E6" w14:textId="77777777" w:rsidR="001F40C6" w:rsidRDefault="00EC754C">
      <w:pPr>
        <w:ind w:firstLine="288"/>
        <w:jc w:val="both"/>
      </w:pPr>
      <w:r>
        <w:t>For consequential decisions, AI should support judgement rather than remove accountability. Reviewers need authority and time to challenge recommendations, and affected people should be able to report errors or request review [2], [6].</w:t>
      </w:r>
    </w:p>
    <w:p w14:paraId="526614F1" w14:textId="77777777" w:rsidR="001F40C6" w:rsidRDefault="00EC754C">
      <w:pPr>
        <w:pStyle w:val="Heading2"/>
      </w:pPr>
      <w:r>
        <w:t>E. Monitor After Deployment</w:t>
      </w:r>
    </w:p>
    <w:p w14:paraId="313E39F8" w14:textId="77777777" w:rsidR="001F40C6" w:rsidRDefault="00EC754C">
      <w:pPr>
        <w:ind w:firstLine="288"/>
        <w:jc w:val="both"/>
      </w:pPr>
      <w:r>
        <w:t>Monitor outcome differences, complaints, override rates and data drift as populations and circumstances change. Serious unexplained harm should prompt investigation and possible restriction or suspension [2].</w:t>
      </w:r>
    </w:p>
    <w:p w14:paraId="3B429F75" w14:textId="77777777" w:rsidR="001F40C6" w:rsidRDefault="00EC754C">
      <w:pPr>
        <w:pStyle w:val="Heading1"/>
      </w:pPr>
      <w:r>
        <w:rPr>
          <w:smallCaps/>
        </w:rPr>
        <w:t>VII. Illustrative Example</w:t>
      </w:r>
    </w:p>
    <w:p w14:paraId="05EC2679" w14:textId="77777777" w:rsidR="001F40C6" w:rsidRDefault="00EC754C">
      <w:pPr>
        <w:ind w:firstLine="288"/>
        <w:jc w:val="both"/>
      </w:pPr>
      <w:r>
        <w:t>Consider an organisation that uses AI to shortlist applicants from past hiring records, a setting similar to the reported recruiting-tool case [5]. If earlier decisions favoured some groups, the model may learn those patterns and rank equally qualified applicants differently. Following the workflow, the organisation would review how “successful hire” labels were defined, check dataset representation, compare selection and true-positive rates across groups, and inspect ranking features for proxies such as in</w:t>
      </w:r>
      <w:r>
        <w:t>stitution or location.</w:t>
      </w:r>
    </w:p>
    <w:p w14:paraId="4F8C90B3" w14:textId="77777777" w:rsidR="001F40C6" w:rsidRDefault="00EC754C">
      <w:pPr>
        <w:ind w:firstLine="288"/>
        <w:jc w:val="both"/>
      </w:pPr>
      <w:r>
        <w:t>It could then test improved data, corrected labels or a suitable intervention; evaluate the revised model on separate data; have knowledgeable reviewers examine borderline cases; and monitor outcomes and complaints after deployment. This example is illustrative, not a completed experiment.</w:t>
      </w:r>
    </w:p>
    <w:p w14:paraId="5E980B53" w14:textId="77777777" w:rsidR="001F40C6" w:rsidRDefault="00EC754C">
      <w:pPr>
        <w:pStyle w:val="Heading1"/>
      </w:pPr>
      <w:r>
        <w:rPr>
          <w:smallCaps/>
        </w:rPr>
        <w:t>VIII. Governance and Documentation</w:t>
      </w:r>
    </w:p>
    <w:p w14:paraId="09F7695D" w14:textId="77777777" w:rsidR="001F40C6" w:rsidRDefault="00EC754C">
      <w:pPr>
        <w:pStyle w:val="Heading2"/>
      </w:pPr>
      <w:r>
        <w:t>A. Documentation as an Audit Trail</w:t>
      </w:r>
    </w:p>
    <w:p w14:paraId="7391D213" w14:textId="77777777" w:rsidR="001F40C6" w:rsidRDefault="00EC754C">
      <w:pPr>
        <w:ind w:firstLine="288"/>
        <w:jc w:val="both"/>
      </w:pPr>
      <w:r>
        <w:t xml:space="preserve">Datasheets record the motivation, composition, collection process and recommended uses of a dataset, and model cards </w:t>
      </w:r>
      <w:r>
        <w:t>record intended use, group-wise evaluation and known limitations [16], [17]. Together they create an audit trail, so later reviewers can see why a feature was kept or an intervention chosen.</w:t>
      </w:r>
    </w:p>
    <w:p w14:paraId="3C351312" w14:textId="77777777" w:rsidR="001F40C6" w:rsidRDefault="00EC754C">
      <w:pPr>
        <w:pStyle w:val="Heading2"/>
      </w:pPr>
      <w:r>
        <w:t xml:space="preserve">B. </w:t>
      </w:r>
      <w:proofErr w:type="spellStart"/>
      <w:r>
        <w:t>Explainability</w:t>
      </w:r>
      <w:proofErr w:type="spellEnd"/>
      <w:r>
        <w:t xml:space="preserve"> as an Audit Aid</w:t>
      </w:r>
    </w:p>
    <w:p w14:paraId="5B29703B" w14:textId="77777777" w:rsidR="001F40C6" w:rsidRDefault="00EC754C">
      <w:pPr>
        <w:ind w:firstLine="288"/>
        <w:jc w:val="both"/>
      </w:pPr>
      <w:r>
        <w:t>Post-hoc explanation methods such as SHAP [22] can show which features drive predictions and help flag suspected proxies. They describe model behaviour rather than prove that outcomes are fair, so they should supplement, not replace, group-wise evaluation.</w:t>
      </w:r>
    </w:p>
    <w:p w14:paraId="5FC36757" w14:textId="77777777" w:rsidR="001F40C6" w:rsidRDefault="00EC754C">
      <w:pPr>
        <w:pStyle w:val="Heading2"/>
      </w:pPr>
      <w:r>
        <w:t>C. Regulatory Context</w:t>
      </w:r>
    </w:p>
    <w:p w14:paraId="666061A0" w14:textId="77777777" w:rsidR="001F40C6" w:rsidRDefault="00EC754C">
      <w:pPr>
        <w:ind w:firstLine="288"/>
        <w:jc w:val="both"/>
      </w:pPr>
      <w:r>
        <w:t>Regulation increasingly expects bias to be examined. The EU AI Act treats certain systems used in employment, education and access to essential services as high-risk and sets data-governance expectations that include examining possible biases [18]. Requirements differ by jurisdiction, and this paper is not legal guidance.</w:t>
      </w:r>
    </w:p>
    <w:p w14:paraId="1A8E1BFB" w14:textId="77777777" w:rsidR="001F40C6" w:rsidRDefault="00EC754C">
      <w:pPr>
        <w:pStyle w:val="Heading2"/>
      </w:pPr>
      <w:r>
        <w:t>D. Roles and Checklist</w:t>
      </w:r>
    </w:p>
    <w:p w14:paraId="58D43264" w14:textId="77777777" w:rsidR="001F40C6" w:rsidRDefault="00EC754C">
      <w:pPr>
        <w:ind w:firstLine="288"/>
        <w:jc w:val="both"/>
      </w:pPr>
      <w:r>
        <w:t>Data scientists run audits and record metrics; domain experts check whether labels and features reflect the intended concept; product owners decide acceptable trade-offs and deployment limits; legal and privacy staff advise on sensitive attributes; and an independent reviewer should be able to pause deployment. Naming an owner for each stage turns the workflow into an accountable process [2]. Table III gives a compact checklist.</w:t>
      </w:r>
    </w:p>
    <w:p w14:paraId="5F9E07BC" w14:textId="77777777" w:rsidR="001F40C6" w:rsidRDefault="00EC754C">
      <w:pPr>
        <w:keepNext/>
        <w:spacing w:before="60"/>
        <w:jc w:val="center"/>
      </w:pPr>
      <w:r>
        <w:rPr>
          <w:smallCaps/>
          <w:sz w:val="16"/>
          <w:szCs w:val="16"/>
        </w:rPr>
        <w:t>TABLE III</w:t>
      </w:r>
    </w:p>
    <w:p w14:paraId="4C9B963B" w14:textId="77777777" w:rsidR="001F40C6" w:rsidRDefault="00EC754C">
      <w:pPr>
        <w:keepNext/>
        <w:spacing w:after="40"/>
        <w:jc w:val="center"/>
      </w:pPr>
      <w:r>
        <w:rPr>
          <w:smallCaps/>
          <w:sz w:val="16"/>
          <w:szCs w:val="16"/>
        </w:rPr>
        <w:t>Workflow Checklist</w:t>
      </w:r>
    </w:p>
    <w:tbl>
      <w:tblPr>
        <w:tblW w:w="50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85"/>
        <w:gridCol w:w="1871"/>
        <w:gridCol w:w="1865"/>
      </w:tblGrid>
      <w:tr w:rsidR="001F40C6" w14:paraId="0354165E" w14:textId="77777777">
        <w:trPr>
          <w:cantSplit/>
        </w:trPr>
        <w:tc>
          <w:tcPr>
            <w:tcW w:w="1285"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07DF3499" w14:textId="77777777" w:rsidR="001F40C6" w:rsidRDefault="00EC754C">
            <w:pPr>
              <w:spacing w:line="200" w:lineRule="auto"/>
              <w:jc w:val="center"/>
            </w:pPr>
            <w:r>
              <w:rPr>
                <w:smallCaps/>
                <w:sz w:val="16"/>
                <w:szCs w:val="16"/>
              </w:rPr>
              <w:t>Stage</w:t>
            </w:r>
          </w:p>
        </w:tc>
        <w:tc>
          <w:tcPr>
            <w:tcW w:w="1871"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18F178EC" w14:textId="77777777" w:rsidR="001F40C6" w:rsidRDefault="00EC754C">
            <w:pPr>
              <w:spacing w:line="200" w:lineRule="auto"/>
              <w:jc w:val="center"/>
            </w:pPr>
            <w:r>
              <w:rPr>
                <w:smallCaps/>
                <w:sz w:val="16"/>
                <w:szCs w:val="16"/>
              </w:rPr>
              <w:t>Key question</w:t>
            </w:r>
          </w:p>
        </w:tc>
        <w:tc>
          <w:tcPr>
            <w:tcW w:w="1865"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02B8B713" w14:textId="77777777" w:rsidR="001F40C6" w:rsidRDefault="00EC754C">
            <w:pPr>
              <w:spacing w:line="200" w:lineRule="auto"/>
              <w:jc w:val="center"/>
            </w:pPr>
            <w:r>
              <w:rPr>
                <w:smallCaps/>
                <w:sz w:val="16"/>
                <w:szCs w:val="16"/>
              </w:rPr>
              <w:t>Evidence to record</w:t>
            </w:r>
          </w:p>
        </w:tc>
      </w:tr>
      <w:tr w:rsidR="001F40C6" w14:paraId="40BAA987" w14:textId="77777777">
        <w:trPr>
          <w:cantSplit/>
        </w:trPr>
        <w:tc>
          <w:tcPr>
            <w:tcW w:w="1285"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4BEACC0C" w14:textId="77777777" w:rsidR="001F40C6" w:rsidRDefault="00EC754C">
            <w:pPr>
              <w:spacing w:line="200" w:lineRule="auto"/>
            </w:pPr>
            <w:r>
              <w:rPr>
                <w:sz w:val="16"/>
                <w:szCs w:val="16"/>
              </w:rPr>
              <w:t>1. Audit data</w:t>
            </w:r>
          </w:p>
        </w:tc>
        <w:tc>
          <w:tcPr>
            <w:tcW w:w="1871"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09A2C62B" w14:textId="77777777" w:rsidR="001F40C6" w:rsidRDefault="00EC754C">
            <w:pPr>
              <w:spacing w:line="200" w:lineRule="auto"/>
            </w:pPr>
            <w:r>
              <w:rPr>
                <w:sz w:val="16"/>
                <w:szCs w:val="16"/>
              </w:rPr>
              <w:t>Who is missing, or labelled inconsistently?</w:t>
            </w:r>
          </w:p>
        </w:tc>
        <w:tc>
          <w:tcPr>
            <w:tcW w:w="1865"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44991B57" w14:textId="77777777" w:rsidR="001F40C6" w:rsidRDefault="00EC754C">
            <w:pPr>
              <w:spacing w:line="200" w:lineRule="auto"/>
            </w:pPr>
            <w:r>
              <w:rPr>
                <w:sz w:val="16"/>
                <w:szCs w:val="16"/>
              </w:rPr>
              <w:t>Datasheet; representation summary</w:t>
            </w:r>
          </w:p>
        </w:tc>
      </w:tr>
      <w:tr w:rsidR="001F40C6" w14:paraId="3907BEDC" w14:textId="77777777">
        <w:trPr>
          <w:cantSplit/>
        </w:trPr>
        <w:tc>
          <w:tcPr>
            <w:tcW w:w="1285"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5406807A" w14:textId="77777777" w:rsidR="001F40C6" w:rsidRDefault="00EC754C">
            <w:pPr>
              <w:spacing w:line="200" w:lineRule="auto"/>
            </w:pPr>
            <w:r>
              <w:rPr>
                <w:sz w:val="16"/>
                <w:szCs w:val="16"/>
              </w:rPr>
              <w:t>2. Group-wise evaluation</w:t>
            </w:r>
          </w:p>
        </w:tc>
        <w:tc>
          <w:tcPr>
            <w:tcW w:w="1871"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187B9965" w14:textId="77777777" w:rsidR="001F40C6" w:rsidRDefault="00EC754C">
            <w:pPr>
              <w:spacing w:line="200" w:lineRule="auto"/>
            </w:pPr>
            <w:r>
              <w:rPr>
                <w:sz w:val="16"/>
                <w:szCs w:val="16"/>
              </w:rPr>
              <w:t>Do error rates differ across groups?</w:t>
            </w:r>
          </w:p>
        </w:tc>
        <w:tc>
          <w:tcPr>
            <w:tcW w:w="1865"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58B87FB2" w14:textId="77777777" w:rsidR="001F40C6" w:rsidRDefault="00EC754C">
            <w:pPr>
              <w:spacing w:line="200" w:lineRule="auto"/>
            </w:pPr>
            <w:r>
              <w:rPr>
                <w:sz w:val="16"/>
                <w:szCs w:val="16"/>
              </w:rPr>
              <w:t>Metrics with sample sizes and intervals</w:t>
            </w:r>
          </w:p>
        </w:tc>
      </w:tr>
      <w:tr w:rsidR="001F40C6" w14:paraId="2E7E1BEC" w14:textId="77777777">
        <w:trPr>
          <w:cantSplit/>
        </w:trPr>
        <w:tc>
          <w:tcPr>
            <w:tcW w:w="1285"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7931C6AD" w14:textId="77777777" w:rsidR="001F40C6" w:rsidRDefault="00EC754C">
            <w:pPr>
              <w:spacing w:line="200" w:lineRule="auto"/>
            </w:pPr>
            <w:r>
              <w:rPr>
                <w:sz w:val="16"/>
                <w:szCs w:val="16"/>
              </w:rPr>
              <w:t>3. Intervention</w:t>
            </w:r>
          </w:p>
        </w:tc>
        <w:tc>
          <w:tcPr>
            <w:tcW w:w="1871"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059FC300" w14:textId="77777777" w:rsidR="001F40C6" w:rsidRDefault="00EC754C">
            <w:pPr>
              <w:spacing w:line="200" w:lineRule="auto"/>
            </w:pPr>
            <w:r>
              <w:rPr>
                <w:sz w:val="16"/>
                <w:szCs w:val="16"/>
              </w:rPr>
              <w:t>Why this method, and what side effects?</w:t>
            </w:r>
          </w:p>
        </w:tc>
        <w:tc>
          <w:tcPr>
            <w:tcW w:w="1865"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5D089D0E" w14:textId="77777777" w:rsidR="001F40C6" w:rsidRDefault="00EC754C">
            <w:pPr>
              <w:spacing w:line="200" w:lineRule="auto"/>
            </w:pPr>
            <w:r>
              <w:rPr>
                <w:sz w:val="16"/>
                <w:szCs w:val="16"/>
              </w:rPr>
              <w:t>Rationale; before/after comparison</w:t>
            </w:r>
          </w:p>
        </w:tc>
      </w:tr>
      <w:tr w:rsidR="001F40C6" w14:paraId="7FF290BE" w14:textId="77777777">
        <w:trPr>
          <w:cantSplit/>
        </w:trPr>
        <w:tc>
          <w:tcPr>
            <w:tcW w:w="1285"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3701ED8C" w14:textId="77777777" w:rsidR="001F40C6" w:rsidRDefault="00EC754C">
            <w:pPr>
              <w:spacing w:line="200" w:lineRule="auto"/>
            </w:pPr>
            <w:r>
              <w:rPr>
                <w:sz w:val="16"/>
                <w:szCs w:val="16"/>
              </w:rPr>
              <w:t>4. Human oversight</w:t>
            </w:r>
          </w:p>
        </w:tc>
        <w:tc>
          <w:tcPr>
            <w:tcW w:w="1871"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6002F244" w14:textId="77777777" w:rsidR="001F40C6" w:rsidRDefault="00EC754C">
            <w:pPr>
              <w:spacing w:line="200" w:lineRule="auto"/>
            </w:pPr>
            <w:r>
              <w:rPr>
                <w:sz w:val="16"/>
                <w:szCs w:val="16"/>
              </w:rPr>
              <w:t>Can reviewers challenge and override?</w:t>
            </w:r>
          </w:p>
        </w:tc>
        <w:tc>
          <w:tcPr>
            <w:tcW w:w="1865"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6C1515CF" w14:textId="77777777" w:rsidR="001F40C6" w:rsidRDefault="00EC754C">
            <w:pPr>
              <w:spacing w:line="200" w:lineRule="auto"/>
            </w:pPr>
            <w:r>
              <w:rPr>
                <w:sz w:val="16"/>
                <w:szCs w:val="16"/>
              </w:rPr>
              <w:t>Review procedure; override log</w:t>
            </w:r>
          </w:p>
        </w:tc>
      </w:tr>
      <w:tr w:rsidR="001F40C6" w14:paraId="580D8271" w14:textId="77777777">
        <w:trPr>
          <w:cantSplit/>
        </w:trPr>
        <w:tc>
          <w:tcPr>
            <w:tcW w:w="1285"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17A7D49E" w14:textId="77777777" w:rsidR="001F40C6" w:rsidRDefault="00EC754C">
            <w:pPr>
              <w:spacing w:line="200" w:lineRule="auto"/>
            </w:pPr>
            <w:r>
              <w:rPr>
                <w:sz w:val="16"/>
                <w:szCs w:val="16"/>
              </w:rPr>
              <w:t>5. Monitoring</w:t>
            </w:r>
          </w:p>
        </w:tc>
        <w:tc>
          <w:tcPr>
            <w:tcW w:w="1871"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1C947429" w14:textId="77777777" w:rsidR="001F40C6" w:rsidRDefault="00EC754C">
            <w:pPr>
              <w:spacing w:line="200" w:lineRule="auto"/>
            </w:pPr>
            <w:r>
              <w:rPr>
                <w:sz w:val="16"/>
                <w:szCs w:val="16"/>
              </w:rPr>
              <w:t>Have outcomes or data drifted?</w:t>
            </w:r>
          </w:p>
        </w:tc>
        <w:tc>
          <w:tcPr>
            <w:tcW w:w="1865"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vAlign w:val="center"/>
          </w:tcPr>
          <w:p w14:paraId="06391CAB" w14:textId="77777777" w:rsidR="001F40C6" w:rsidRDefault="00EC754C">
            <w:pPr>
              <w:spacing w:line="200" w:lineRule="auto"/>
            </w:pPr>
            <w:r>
              <w:rPr>
                <w:sz w:val="16"/>
                <w:szCs w:val="16"/>
              </w:rPr>
              <w:t>Dashboard; complaint log; review dates</w:t>
            </w:r>
          </w:p>
        </w:tc>
      </w:tr>
    </w:tbl>
    <w:p w14:paraId="19521D58" w14:textId="77777777" w:rsidR="001F40C6" w:rsidRDefault="001F40C6">
      <w:pPr>
        <w:spacing w:after="40"/>
      </w:pPr>
    </w:p>
    <w:p w14:paraId="7E3C68D8" w14:textId="77777777" w:rsidR="001F40C6" w:rsidRDefault="00EC754C">
      <w:pPr>
        <w:pStyle w:val="Heading1"/>
      </w:pPr>
      <w:r>
        <w:rPr>
          <w:smallCaps/>
        </w:rPr>
        <w:t>IX. Proposed Evaluation Protocol</w:t>
      </w:r>
    </w:p>
    <w:p w14:paraId="6E8F294B" w14:textId="77777777" w:rsidR="001F40C6" w:rsidRDefault="00EC754C">
      <w:pPr>
        <w:ind w:firstLine="288"/>
        <w:jc w:val="both"/>
      </w:pPr>
      <w:r>
        <w:t>Because the workflow has not been tested empirically, we outline how it could be. A public tabular dataset with a sensitive attribute, such as the UCI Adult income dataset [23], is split into training, validation and test sets. A baseline classifier, for example logistic regression, is trained without mitigation, and group-wise selection rate, true-positive rate and false-positive rate are computed with bootstrap confidence intervals.</w:t>
      </w:r>
    </w:p>
    <w:p w14:paraId="053001C9" w14:textId="77777777" w:rsidR="001F40C6" w:rsidRDefault="00EC754C">
      <w:pPr>
        <w:ind w:firstLine="288"/>
        <w:jc w:val="both"/>
      </w:pPr>
      <w:r>
        <w:t xml:space="preserve">Reweighting [20], an in-processing method [21] and threshold adjustment [8] are then applied one at a time using an open-source toolkit [14], [15]. For each variant, accuracy should be reported beside the gaps in </w:t>
      </w:r>
      <w:proofErr w:type="spellStart"/>
      <w:r>
        <w:t>Eqs</w:t>
      </w:r>
      <w:proofErr w:type="spellEnd"/>
      <w:r>
        <w:t>. (1) and (2), so readers can see the cost and benefit of each intervention. Runs should be repeated over several random seeds, and conclusions limited to the dataset and settings tested. No such results are reported in this paper.</w:t>
      </w:r>
    </w:p>
    <w:p w14:paraId="1DC11FEA" w14:textId="77777777" w:rsidR="001F40C6" w:rsidRDefault="00EC754C">
      <w:pPr>
        <w:pStyle w:val="Heading1"/>
      </w:pPr>
      <w:r>
        <w:rPr>
          <w:smallCaps/>
        </w:rPr>
        <w:t>X. Challenges and Limitations</w:t>
      </w:r>
    </w:p>
    <w:p w14:paraId="14F207B6" w14:textId="77777777" w:rsidR="001F40C6" w:rsidRDefault="00EC754C">
      <w:pPr>
        <w:ind w:firstLine="288"/>
        <w:jc w:val="both"/>
      </w:pPr>
      <w:r>
        <w:t>No single fairness metric suits every application. Metrics may disagree, small samples create uncertainty (especially for intersectional subgroups [4]), and privacy requirements can limit auditing. A mitigation may improve one measure while affecting another or changing overall performance [9], [13].</w:t>
      </w:r>
    </w:p>
    <w:p w14:paraId="241E9155" w14:textId="77777777" w:rsidR="001F40C6" w:rsidRDefault="00EC754C">
      <w:pPr>
        <w:ind w:firstLine="288"/>
        <w:jc w:val="both"/>
      </w:pPr>
      <w:r>
        <w:t>Human oversight fails if reviewers simply accept model outputs or cannot challenge them. Bias mitigation needs clear responsibilities, documented decisions, meaningful review and repeated evaluation. The NIST AI RMF supports lifecycle risk management but does not automatically guarantee fairness [2]. Finally, the workflow proposed here is derived from the literature and has not yet been validated empirically.</w:t>
      </w:r>
    </w:p>
    <w:p w14:paraId="43BA36E8" w14:textId="77777777" w:rsidR="001F40C6" w:rsidRDefault="00EC754C">
      <w:pPr>
        <w:pStyle w:val="Heading1"/>
      </w:pPr>
      <w:r>
        <w:rPr>
          <w:smallCaps/>
        </w:rPr>
        <w:t>XI. Conclusion</w:t>
      </w:r>
    </w:p>
    <w:p w14:paraId="59D931A1" w14:textId="77777777" w:rsidR="001F40C6" w:rsidRDefault="00EC754C">
      <w:pPr>
        <w:ind w:firstLine="288"/>
        <w:jc w:val="both"/>
      </w:pPr>
      <w:r>
        <w:t>AI bias can arise from data, historical decisions, labels, features and deployment practices. Mitigation requires defining intended use, auditing data, evaluating group outcomes, selecting justified interventions, preserving human accountability and monitoring the system. No single metric or technique guarantees fairness. This paper contributes a taxonomy of bias sources, a five-stage workflow with supporting tables and a checklist, and a protocol for testing it. Future work should apply that protocol to pu</w:t>
      </w:r>
      <w:r>
        <w:t>blic benchmark datasets and real organisational settings, including intersectional subgroups, before claims are made about the workflow’s effectiveness.</w:t>
      </w:r>
    </w:p>
    <w:p w14:paraId="7C51D509" w14:textId="77777777" w:rsidR="001F40C6" w:rsidRDefault="00EC754C">
      <w:pPr>
        <w:pStyle w:val="Heading1"/>
      </w:pPr>
      <w:r>
        <w:rPr>
          <w:smallCaps/>
        </w:rPr>
        <w:t>References</w:t>
      </w:r>
    </w:p>
    <w:p w14:paraId="6A66BB85" w14:textId="77777777" w:rsidR="001F40C6" w:rsidRDefault="00EC754C">
      <w:pPr>
        <w:tabs>
          <w:tab w:val="left" w:pos="360"/>
        </w:tabs>
        <w:spacing w:after="20" w:line="200" w:lineRule="auto"/>
        <w:ind w:left="360" w:hanging="360"/>
        <w:jc w:val="both"/>
      </w:pPr>
      <w:r>
        <w:rPr>
          <w:sz w:val="16"/>
          <w:szCs w:val="16"/>
        </w:rPr>
        <w:t>[1]</w:t>
      </w:r>
      <w:r>
        <w:rPr>
          <w:sz w:val="16"/>
          <w:szCs w:val="16"/>
        </w:rPr>
        <w:tab/>
        <w:t xml:space="preserve">N. </w:t>
      </w:r>
      <w:proofErr w:type="spellStart"/>
      <w:r>
        <w:rPr>
          <w:sz w:val="16"/>
          <w:szCs w:val="16"/>
        </w:rPr>
        <w:t>Mehrabi</w:t>
      </w:r>
      <w:proofErr w:type="spellEnd"/>
      <w:r>
        <w:rPr>
          <w:sz w:val="16"/>
          <w:szCs w:val="16"/>
        </w:rPr>
        <w:t xml:space="preserve">, F. </w:t>
      </w:r>
      <w:proofErr w:type="spellStart"/>
      <w:r>
        <w:rPr>
          <w:sz w:val="16"/>
          <w:szCs w:val="16"/>
        </w:rPr>
        <w:t>Morstatter</w:t>
      </w:r>
      <w:proofErr w:type="spellEnd"/>
      <w:r>
        <w:rPr>
          <w:sz w:val="16"/>
          <w:szCs w:val="16"/>
        </w:rPr>
        <w:t xml:space="preserve">, N. </w:t>
      </w:r>
      <w:proofErr w:type="spellStart"/>
      <w:r>
        <w:rPr>
          <w:sz w:val="16"/>
          <w:szCs w:val="16"/>
        </w:rPr>
        <w:t>Saxena</w:t>
      </w:r>
      <w:proofErr w:type="spellEnd"/>
      <w:r>
        <w:rPr>
          <w:sz w:val="16"/>
          <w:szCs w:val="16"/>
        </w:rPr>
        <w:t xml:space="preserve">, K. </w:t>
      </w:r>
      <w:proofErr w:type="spellStart"/>
      <w:r>
        <w:rPr>
          <w:sz w:val="16"/>
          <w:szCs w:val="16"/>
        </w:rPr>
        <w:t>Lerman</w:t>
      </w:r>
      <w:proofErr w:type="spellEnd"/>
      <w:r>
        <w:rPr>
          <w:sz w:val="16"/>
          <w:szCs w:val="16"/>
        </w:rPr>
        <w:t xml:space="preserve">, and A. </w:t>
      </w:r>
      <w:proofErr w:type="spellStart"/>
      <w:r>
        <w:rPr>
          <w:sz w:val="16"/>
          <w:szCs w:val="16"/>
        </w:rPr>
        <w:t>Galstyan</w:t>
      </w:r>
      <w:proofErr w:type="spellEnd"/>
      <w:r>
        <w:rPr>
          <w:sz w:val="16"/>
          <w:szCs w:val="16"/>
        </w:rPr>
        <w:t xml:space="preserve">, “A survey on bias and fairness in machine learning,” </w:t>
      </w:r>
      <w:r>
        <w:rPr>
          <w:i/>
          <w:iCs/>
          <w:sz w:val="16"/>
          <w:szCs w:val="16"/>
        </w:rPr>
        <w:t xml:space="preserve">ACM </w:t>
      </w:r>
      <w:proofErr w:type="spellStart"/>
      <w:r>
        <w:rPr>
          <w:i/>
          <w:iCs/>
          <w:sz w:val="16"/>
          <w:szCs w:val="16"/>
        </w:rPr>
        <w:t>Comput</w:t>
      </w:r>
      <w:proofErr w:type="spellEnd"/>
      <w:r>
        <w:rPr>
          <w:i/>
          <w:iCs/>
          <w:sz w:val="16"/>
          <w:szCs w:val="16"/>
        </w:rPr>
        <w:t xml:space="preserve">. </w:t>
      </w:r>
      <w:proofErr w:type="spellStart"/>
      <w:r>
        <w:rPr>
          <w:i/>
          <w:iCs/>
          <w:sz w:val="16"/>
          <w:szCs w:val="16"/>
        </w:rPr>
        <w:t>Surv</w:t>
      </w:r>
      <w:proofErr w:type="spellEnd"/>
      <w:r>
        <w:rPr>
          <w:i/>
          <w:iCs/>
          <w:sz w:val="16"/>
          <w:szCs w:val="16"/>
        </w:rPr>
        <w:t>.</w:t>
      </w:r>
      <w:r>
        <w:rPr>
          <w:sz w:val="16"/>
          <w:szCs w:val="16"/>
        </w:rPr>
        <w:t>, vol. 54, no. 6, Art. no. 115, 2021.</w:t>
      </w:r>
    </w:p>
    <w:p w14:paraId="0234C3E6" w14:textId="77777777" w:rsidR="001F40C6" w:rsidRDefault="00EC754C">
      <w:pPr>
        <w:tabs>
          <w:tab w:val="left" w:pos="360"/>
        </w:tabs>
        <w:spacing w:after="20" w:line="200" w:lineRule="auto"/>
        <w:ind w:left="360" w:hanging="360"/>
        <w:jc w:val="both"/>
      </w:pPr>
      <w:r>
        <w:rPr>
          <w:sz w:val="16"/>
          <w:szCs w:val="16"/>
        </w:rPr>
        <w:t>[2]</w:t>
      </w:r>
      <w:r>
        <w:rPr>
          <w:sz w:val="16"/>
          <w:szCs w:val="16"/>
        </w:rPr>
        <w:tab/>
        <w:t xml:space="preserve">E. </w:t>
      </w:r>
      <w:proofErr w:type="spellStart"/>
      <w:r>
        <w:rPr>
          <w:sz w:val="16"/>
          <w:szCs w:val="16"/>
        </w:rPr>
        <w:t>Tabassi</w:t>
      </w:r>
      <w:proofErr w:type="spellEnd"/>
      <w:r>
        <w:rPr>
          <w:sz w:val="16"/>
          <w:szCs w:val="16"/>
        </w:rPr>
        <w:t xml:space="preserve">, “Artificial Intelligence Risk Management Framework (AI RMF 1.0),” NIST AI 100-1, National Institute of Standards and Technology, 2023. </w:t>
      </w:r>
      <w:proofErr w:type="spellStart"/>
      <w:r>
        <w:rPr>
          <w:sz w:val="16"/>
          <w:szCs w:val="16"/>
        </w:rPr>
        <w:t>doi</w:t>
      </w:r>
      <w:proofErr w:type="spellEnd"/>
      <w:r>
        <w:rPr>
          <w:sz w:val="16"/>
          <w:szCs w:val="16"/>
        </w:rPr>
        <w:t>: 10.6028/NIST.AI.100-1.</w:t>
      </w:r>
    </w:p>
    <w:p w14:paraId="3D4BF538" w14:textId="77777777" w:rsidR="001F40C6" w:rsidRDefault="00EC754C">
      <w:pPr>
        <w:tabs>
          <w:tab w:val="left" w:pos="360"/>
        </w:tabs>
        <w:spacing w:after="20" w:line="200" w:lineRule="auto"/>
        <w:ind w:left="360" w:hanging="360"/>
        <w:jc w:val="both"/>
      </w:pPr>
      <w:r>
        <w:rPr>
          <w:sz w:val="16"/>
          <w:szCs w:val="16"/>
        </w:rPr>
        <w:t>[3]</w:t>
      </w:r>
      <w:r>
        <w:rPr>
          <w:sz w:val="16"/>
          <w:szCs w:val="16"/>
        </w:rPr>
        <w:tab/>
      </w:r>
      <w:r>
        <w:rPr>
          <w:sz w:val="16"/>
          <w:szCs w:val="16"/>
        </w:rPr>
        <w:t xml:space="preserve">Z. Obermeyer, B. Powers, C. </w:t>
      </w:r>
      <w:proofErr w:type="spellStart"/>
      <w:r>
        <w:rPr>
          <w:sz w:val="16"/>
          <w:szCs w:val="16"/>
        </w:rPr>
        <w:t>Vogeli</w:t>
      </w:r>
      <w:proofErr w:type="spellEnd"/>
      <w:r>
        <w:rPr>
          <w:sz w:val="16"/>
          <w:szCs w:val="16"/>
        </w:rPr>
        <w:t xml:space="preserve">, and S. </w:t>
      </w:r>
      <w:proofErr w:type="spellStart"/>
      <w:r>
        <w:rPr>
          <w:sz w:val="16"/>
          <w:szCs w:val="16"/>
        </w:rPr>
        <w:t>Mullainathan</w:t>
      </w:r>
      <w:proofErr w:type="spellEnd"/>
      <w:r>
        <w:rPr>
          <w:sz w:val="16"/>
          <w:szCs w:val="16"/>
        </w:rPr>
        <w:t xml:space="preserve">, “Dissecting racial bias in an algorithm used to manage the health of populations,” </w:t>
      </w:r>
      <w:r>
        <w:rPr>
          <w:i/>
          <w:iCs/>
          <w:sz w:val="16"/>
          <w:szCs w:val="16"/>
        </w:rPr>
        <w:t>Science</w:t>
      </w:r>
      <w:r>
        <w:rPr>
          <w:sz w:val="16"/>
          <w:szCs w:val="16"/>
        </w:rPr>
        <w:t>, vol. 366, no. 6464, pp. 447–453, 2019.</w:t>
      </w:r>
    </w:p>
    <w:p w14:paraId="260B34B2" w14:textId="77777777" w:rsidR="001F40C6" w:rsidRDefault="00EC754C">
      <w:pPr>
        <w:tabs>
          <w:tab w:val="left" w:pos="360"/>
        </w:tabs>
        <w:spacing w:after="20" w:line="200" w:lineRule="auto"/>
        <w:ind w:left="360" w:hanging="360"/>
        <w:jc w:val="both"/>
      </w:pPr>
      <w:r>
        <w:rPr>
          <w:sz w:val="16"/>
          <w:szCs w:val="16"/>
        </w:rPr>
        <w:t>[4]</w:t>
      </w:r>
      <w:r>
        <w:rPr>
          <w:sz w:val="16"/>
          <w:szCs w:val="16"/>
        </w:rPr>
        <w:tab/>
        <w:t xml:space="preserve">J. </w:t>
      </w:r>
      <w:proofErr w:type="spellStart"/>
      <w:r>
        <w:rPr>
          <w:sz w:val="16"/>
          <w:szCs w:val="16"/>
        </w:rPr>
        <w:t>Buolamwini</w:t>
      </w:r>
      <w:proofErr w:type="spellEnd"/>
      <w:r>
        <w:rPr>
          <w:sz w:val="16"/>
          <w:szCs w:val="16"/>
        </w:rPr>
        <w:t xml:space="preserve"> and T. </w:t>
      </w:r>
      <w:proofErr w:type="spellStart"/>
      <w:r>
        <w:rPr>
          <w:sz w:val="16"/>
          <w:szCs w:val="16"/>
        </w:rPr>
        <w:t>Gebru</w:t>
      </w:r>
      <w:proofErr w:type="spellEnd"/>
      <w:r>
        <w:rPr>
          <w:sz w:val="16"/>
          <w:szCs w:val="16"/>
        </w:rPr>
        <w:t xml:space="preserve">, “Gender shades: Intersectional accuracy disparities in commercial gender classification,” in </w:t>
      </w:r>
      <w:r>
        <w:rPr>
          <w:i/>
          <w:iCs/>
          <w:sz w:val="16"/>
          <w:szCs w:val="16"/>
        </w:rPr>
        <w:t>Proc. Conf. Fairness, Accountability and Transparency (PMLR 81)</w:t>
      </w:r>
      <w:r>
        <w:rPr>
          <w:sz w:val="16"/>
          <w:szCs w:val="16"/>
        </w:rPr>
        <w:t>, 2018, pp. 77–91.</w:t>
      </w:r>
    </w:p>
    <w:p w14:paraId="16F168DC" w14:textId="77777777" w:rsidR="001F40C6" w:rsidRDefault="00EC754C">
      <w:pPr>
        <w:tabs>
          <w:tab w:val="left" w:pos="360"/>
        </w:tabs>
        <w:spacing w:after="20" w:line="200" w:lineRule="auto"/>
        <w:ind w:left="360" w:hanging="360"/>
        <w:jc w:val="both"/>
      </w:pPr>
      <w:r>
        <w:rPr>
          <w:sz w:val="16"/>
          <w:szCs w:val="16"/>
        </w:rPr>
        <w:t>[5]</w:t>
      </w:r>
      <w:r>
        <w:rPr>
          <w:sz w:val="16"/>
          <w:szCs w:val="16"/>
        </w:rPr>
        <w:tab/>
        <w:t xml:space="preserve">J. </w:t>
      </w:r>
      <w:proofErr w:type="spellStart"/>
      <w:r>
        <w:rPr>
          <w:sz w:val="16"/>
          <w:szCs w:val="16"/>
        </w:rPr>
        <w:t>Dastin</w:t>
      </w:r>
      <w:proofErr w:type="spellEnd"/>
      <w:r>
        <w:rPr>
          <w:sz w:val="16"/>
          <w:szCs w:val="16"/>
        </w:rPr>
        <w:t xml:space="preserve">, “Amazon scraps secret AI recruiting tool that showed bias against women,” </w:t>
      </w:r>
      <w:r>
        <w:rPr>
          <w:i/>
          <w:iCs/>
          <w:sz w:val="16"/>
          <w:szCs w:val="16"/>
        </w:rPr>
        <w:t>Reuters</w:t>
      </w:r>
      <w:r>
        <w:rPr>
          <w:sz w:val="16"/>
          <w:szCs w:val="16"/>
        </w:rPr>
        <w:t>, Oct. 10, 2018.</w:t>
      </w:r>
    </w:p>
    <w:p w14:paraId="46506B61" w14:textId="77777777" w:rsidR="001F40C6" w:rsidRDefault="00EC754C">
      <w:pPr>
        <w:tabs>
          <w:tab w:val="left" w:pos="360"/>
        </w:tabs>
        <w:spacing w:after="20" w:line="200" w:lineRule="auto"/>
        <w:ind w:left="360" w:hanging="360"/>
        <w:jc w:val="both"/>
      </w:pPr>
      <w:r>
        <w:rPr>
          <w:sz w:val="16"/>
          <w:szCs w:val="16"/>
        </w:rPr>
        <w:t>[6]</w:t>
      </w:r>
      <w:r>
        <w:rPr>
          <w:sz w:val="16"/>
          <w:szCs w:val="16"/>
        </w:rPr>
        <w:tab/>
      </w:r>
      <w:r>
        <w:rPr>
          <w:sz w:val="16"/>
          <w:szCs w:val="16"/>
        </w:rPr>
        <w:t>UNESCO, “Recommendation on the Ethics of Artificial Intelligence,” adopted Nov. 23, 2021. [Online]. Available: https://www.unesco.org/en/legal-affairs/recommendation-ethics-artificial-intelligence</w:t>
      </w:r>
    </w:p>
    <w:p w14:paraId="16344F91" w14:textId="77777777" w:rsidR="001F40C6" w:rsidRDefault="00EC754C">
      <w:pPr>
        <w:tabs>
          <w:tab w:val="left" w:pos="360"/>
        </w:tabs>
        <w:spacing w:after="20" w:line="200" w:lineRule="auto"/>
        <w:ind w:left="360" w:hanging="360"/>
        <w:jc w:val="both"/>
      </w:pPr>
      <w:r>
        <w:rPr>
          <w:sz w:val="16"/>
          <w:szCs w:val="16"/>
        </w:rPr>
        <w:t>[7]</w:t>
      </w:r>
      <w:r>
        <w:rPr>
          <w:sz w:val="16"/>
          <w:szCs w:val="16"/>
        </w:rPr>
        <w:tab/>
        <w:t xml:space="preserve">C. </w:t>
      </w:r>
      <w:proofErr w:type="spellStart"/>
      <w:r>
        <w:rPr>
          <w:sz w:val="16"/>
          <w:szCs w:val="16"/>
        </w:rPr>
        <w:t>Dwork</w:t>
      </w:r>
      <w:proofErr w:type="spellEnd"/>
      <w:r>
        <w:rPr>
          <w:sz w:val="16"/>
          <w:szCs w:val="16"/>
        </w:rPr>
        <w:t xml:space="preserve">, M. </w:t>
      </w:r>
      <w:proofErr w:type="spellStart"/>
      <w:r>
        <w:rPr>
          <w:sz w:val="16"/>
          <w:szCs w:val="16"/>
        </w:rPr>
        <w:t>Hardt</w:t>
      </w:r>
      <w:proofErr w:type="spellEnd"/>
      <w:r>
        <w:rPr>
          <w:sz w:val="16"/>
          <w:szCs w:val="16"/>
        </w:rPr>
        <w:t xml:space="preserve">, T. </w:t>
      </w:r>
      <w:proofErr w:type="spellStart"/>
      <w:r>
        <w:rPr>
          <w:sz w:val="16"/>
          <w:szCs w:val="16"/>
        </w:rPr>
        <w:t>Pitassi</w:t>
      </w:r>
      <w:proofErr w:type="spellEnd"/>
      <w:r>
        <w:rPr>
          <w:sz w:val="16"/>
          <w:szCs w:val="16"/>
        </w:rPr>
        <w:t xml:space="preserve">, O. </w:t>
      </w:r>
      <w:proofErr w:type="spellStart"/>
      <w:r>
        <w:rPr>
          <w:sz w:val="16"/>
          <w:szCs w:val="16"/>
        </w:rPr>
        <w:t>Reingold</w:t>
      </w:r>
      <w:proofErr w:type="spellEnd"/>
      <w:r>
        <w:rPr>
          <w:sz w:val="16"/>
          <w:szCs w:val="16"/>
        </w:rPr>
        <w:t xml:space="preserve">, and R. </w:t>
      </w:r>
      <w:proofErr w:type="spellStart"/>
      <w:r>
        <w:rPr>
          <w:sz w:val="16"/>
          <w:szCs w:val="16"/>
        </w:rPr>
        <w:t>Zemel</w:t>
      </w:r>
      <w:proofErr w:type="spellEnd"/>
      <w:r>
        <w:rPr>
          <w:sz w:val="16"/>
          <w:szCs w:val="16"/>
        </w:rPr>
        <w:t xml:space="preserve">, “Fairness through awareness,” in </w:t>
      </w:r>
      <w:r>
        <w:rPr>
          <w:i/>
          <w:iCs/>
          <w:sz w:val="16"/>
          <w:szCs w:val="16"/>
        </w:rPr>
        <w:t>Proc. Innovations in Theoretical Computer Science (ITCS)</w:t>
      </w:r>
      <w:r>
        <w:rPr>
          <w:sz w:val="16"/>
          <w:szCs w:val="16"/>
        </w:rPr>
        <w:t>, 2012, pp. 214–226.</w:t>
      </w:r>
    </w:p>
    <w:p w14:paraId="6FDD33A8" w14:textId="77777777" w:rsidR="001F40C6" w:rsidRDefault="00EC754C">
      <w:pPr>
        <w:tabs>
          <w:tab w:val="left" w:pos="360"/>
        </w:tabs>
        <w:spacing w:after="20" w:line="200" w:lineRule="auto"/>
        <w:ind w:left="360" w:hanging="360"/>
        <w:jc w:val="both"/>
      </w:pPr>
      <w:r>
        <w:rPr>
          <w:sz w:val="16"/>
          <w:szCs w:val="16"/>
        </w:rPr>
        <w:t>[8]</w:t>
      </w:r>
      <w:r>
        <w:rPr>
          <w:sz w:val="16"/>
          <w:szCs w:val="16"/>
        </w:rPr>
        <w:tab/>
        <w:t xml:space="preserve">M. </w:t>
      </w:r>
      <w:proofErr w:type="spellStart"/>
      <w:r>
        <w:rPr>
          <w:sz w:val="16"/>
          <w:szCs w:val="16"/>
        </w:rPr>
        <w:t>Hardt</w:t>
      </w:r>
      <w:proofErr w:type="spellEnd"/>
      <w:r>
        <w:rPr>
          <w:sz w:val="16"/>
          <w:szCs w:val="16"/>
        </w:rPr>
        <w:t xml:space="preserve">, E. Price, and N. </w:t>
      </w:r>
      <w:proofErr w:type="spellStart"/>
      <w:r>
        <w:rPr>
          <w:sz w:val="16"/>
          <w:szCs w:val="16"/>
        </w:rPr>
        <w:t>Srebro</w:t>
      </w:r>
      <w:proofErr w:type="spellEnd"/>
      <w:r>
        <w:rPr>
          <w:sz w:val="16"/>
          <w:szCs w:val="16"/>
        </w:rPr>
        <w:t xml:space="preserve">, “Equality of opportunity in supervised learning,” in </w:t>
      </w:r>
      <w:r>
        <w:rPr>
          <w:i/>
          <w:iCs/>
          <w:sz w:val="16"/>
          <w:szCs w:val="16"/>
        </w:rPr>
        <w:t>Proc. Adv. Neural Inf. Process. Syst. (</w:t>
      </w:r>
      <w:proofErr w:type="spellStart"/>
      <w:r>
        <w:rPr>
          <w:i/>
          <w:iCs/>
          <w:sz w:val="16"/>
          <w:szCs w:val="16"/>
        </w:rPr>
        <w:t>NeurIPS</w:t>
      </w:r>
      <w:proofErr w:type="spellEnd"/>
      <w:r>
        <w:rPr>
          <w:i/>
          <w:iCs/>
          <w:sz w:val="16"/>
          <w:szCs w:val="16"/>
        </w:rPr>
        <w:t>)</w:t>
      </w:r>
      <w:r>
        <w:rPr>
          <w:sz w:val="16"/>
          <w:szCs w:val="16"/>
        </w:rPr>
        <w:t>, 2016, pp. 3315–3323.</w:t>
      </w:r>
    </w:p>
    <w:p w14:paraId="1413A6E6" w14:textId="77777777" w:rsidR="001F40C6" w:rsidRDefault="00EC754C">
      <w:pPr>
        <w:tabs>
          <w:tab w:val="left" w:pos="360"/>
        </w:tabs>
        <w:spacing w:after="20" w:line="200" w:lineRule="auto"/>
        <w:ind w:left="360" w:hanging="360"/>
        <w:jc w:val="both"/>
      </w:pPr>
      <w:r>
        <w:rPr>
          <w:sz w:val="16"/>
          <w:szCs w:val="16"/>
        </w:rPr>
        <w:t>[9]</w:t>
      </w:r>
      <w:r>
        <w:rPr>
          <w:sz w:val="16"/>
          <w:szCs w:val="16"/>
        </w:rPr>
        <w:tab/>
        <w:t xml:space="preserve">S. </w:t>
      </w:r>
      <w:proofErr w:type="spellStart"/>
      <w:r>
        <w:rPr>
          <w:sz w:val="16"/>
          <w:szCs w:val="16"/>
        </w:rPr>
        <w:t>Barocas</w:t>
      </w:r>
      <w:proofErr w:type="spellEnd"/>
      <w:r>
        <w:rPr>
          <w:sz w:val="16"/>
          <w:szCs w:val="16"/>
        </w:rPr>
        <w:t xml:space="preserve">, M. </w:t>
      </w:r>
      <w:proofErr w:type="spellStart"/>
      <w:r>
        <w:rPr>
          <w:sz w:val="16"/>
          <w:szCs w:val="16"/>
        </w:rPr>
        <w:t>Hardt</w:t>
      </w:r>
      <w:proofErr w:type="spellEnd"/>
      <w:r>
        <w:rPr>
          <w:sz w:val="16"/>
          <w:szCs w:val="16"/>
        </w:rPr>
        <w:t xml:space="preserve">, and A. Narayanan, </w:t>
      </w:r>
      <w:r>
        <w:rPr>
          <w:i/>
          <w:iCs/>
          <w:sz w:val="16"/>
          <w:szCs w:val="16"/>
        </w:rPr>
        <w:t>Fairness and Machine Learning: Limitations and Opportunities</w:t>
      </w:r>
      <w:r>
        <w:rPr>
          <w:sz w:val="16"/>
          <w:szCs w:val="16"/>
        </w:rPr>
        <w:t>. Cambridge, MA, USA: MIT Press, 2023. [Online]. Available: https://fairmlbook.org/</w:t>
      </w:r>
    </w:p>
    <w:p w14:paraId="50F68A90" w14:textId="77777777" w:rsidR="001F40C6" w:rsidRDefault="00EC754C">
      <w:pPr>
        <w:tabs>
          <w:tab w:val="left" w:pos="360"/>
        </w:tabs>
        <w:spacing w:after="20" w:line="200" w:lineRule="auto"/>
        <w:ind w:left="360" w:hanging="360"/>
        <w:jc w:val="both"/>
      </w:pPr>
      <w:r>
        <w:rPr>
          <w:sz w:val="16"/>
          <w:szCs w:val="16"/>
        </w:rPr>
        <w:t>[10]</w:t>
      </w:r>
      <w:r>
        <w:rPr>
          <w:sz w:val="16"/>
          <w:szCs w:val="16"/>
        </w:rPr>
        <w:tab/>
        <w:t xml:space="preserve">J. Kleinberg, S. </w:t>
      </w:r>
      <w:proofErr w:type="spellStart"/>
      <w:r>
        <w:rPr>
          <w:sz w:val="16"/>
          <w:szCs w:val="16"/>
        </w:rPr>
        <w:t>Mullainathan</w:t>
      </w:r>
      <w:proofErr w:type="spellEnd"/>
      <w:r>
        <w:rPr>
          <w:sz w:val="16"/>
          <w:szCs w:val="16"/>
        </w:rPr>
        <w:t xml:space="preserve">, and M. </w:t>
      </w:r>
      <w:proofErr w:type="spellStart"/>
      <w:r>
        <w:rPr>
          <w:sz w:val="16"/>
          <w:szCs w:val="16"/>
        </w:rPr>
        <w:t>Raghavan</w:t>
      </w:r>
      <w:proofErr w:type="spellEnd"/>
      <w:r>
        <w:rPr>
          <w:sz w:val="16"/>
          <w:szCs w:val="16"/>
        </w:rPr>
        <w:t xml:space="preserve">, “Inherent trade-offs in the fair determination of risk scores,” in </w:t>
      </w:r>
      <w:r>
        <w:rPr>
          <w:i/>
          <w:iCs/>
          <w:sz w:val="16"/>
          <w:szCs w:val="16"/>
        </w:rPr>
        <w:t>Proc. Innovations in Theoretical Computer Science (ITCS)</w:t>
      </w:r>
      <w:r>
        <w:rPr>
          <w:sz w:val="16"/>
          <w:szCs w:val="16"/>
        </w:rPr>
        <w:t>, 2017, Art. no. 43.</w:t>
      </w:r>
    </w:p>
    <w:p w14:paraId="1D2E9B51" w14:textId="77777777" w:rsidR="001F40C6" w:rsidRDefault="00EC754C">
      <w:pPr>
        <w:tabs>
          <w:tab w:val="left" w:pos="360"/>
        </w:tabs>
        <w:spacing w:after="20" w:line="200" w:lineRule="auto"/>
        <w:ind w:left="360" w:hanging="360"/>
        <w:jc w:val="both"/>
      </w:pPr>
      <w:r>
        <w:rPr>
          <w:sz w:val="16"/>
          <w:szCs w:val="16"/>
        </w:rPr>
        <w:t>[11]</w:t>
      </w:r>
      <w:r>
        <w:rPr>
          <w:sz w:val="16"/>
          <w:szCs w:val="16"/>
        </w:rPr>
        <w:tab/>
      </w:r>
      <w:r>
        <w:rPr>
          <w:sz w:val="16"/>
          <w:szCs w:val="16"/>
        </w:rPr>
        <w:t xml:space="preserve">A. </w:t>
      </w:r>
      <w:proofErr w:type="spellStart"/>
      <w:r>
        <w:rPr>
          <w:sz w:val="16"/>
          <w:szCs w:val="16"/>
        </w:rPr>
        <w:t>Chouldechova</w:t>
      </w:r>
      <w:proofErr w:type="spellEnd"/>
      <w:r>
        <w:rPr>
          <w:sz w:val="16"/>
          <w:szCs w:val="16"/>
        </w:rPr>
        <w:t xml:space="preserve">, “Fair prediction with disparate impact: A study of bias in recidivism prediction instruments,” </w:t>
      </w:r>
      <w:r>
        <w:rPr>
          <w:i/>
          <w:iCs/>
          <w:sz w:val="16"/>
          <w:szCs w:val="16"/>
        </w:rPr>
        <w:t>Big Data</w:t>
      </w:r>
      <w:r>
        <w:rPr>
          <w:sz w:val="16"/>
          <w:szCs w:val="16"/>
        </w:rPr>
        <w:t>, vol. 5, no. 2, pp. 153–163, 2017.</w:t>
      </w:r>
    </w:p>
    <w:p w14:paraId="20094693" w14:textId="77777777" w:rsidR="001F40C6" w:rsidRDefault="00EC754C">
      <w:pPr>
        <w:tabs>
          <w:tab w:val="left" w:pos="360"/>
        </w:tabs>
        <w:spacing w:after="20" w:line="200" w:lineRule="auto"/>
        <w:ind w:left="360" w:hanging="360"/>
        <w:jc w:val="both"/>
      </w:pPr>
      <w:r>
        <w:rPr>
          <w:sz w:val="16"/>
          <w:szCs w:val="16"/>
        </w:rPr>
        <w:t>[12]</w:t>
      </w:r>
      <w:r>
        <w:rPr>
          <w:sz w:val="16"/>
          <w:szCs w:val="16"/>
        </w:rPr>
        <w:tab/>
        <w:t xml:space="preserve">J. </w:t>
      </w:r>
      <w:proofErr w:type="spellStart"/>
      <w:r>
        <w:rPr>
          <w:sz w:val="16"/>
          <w:szCs w:val="16"/>
        </w:rPr>
        <w:t>Angwin</w:t>
      </w:r>
      <w:proofErr w:type="spellEnd"/>
      <w:r>
        <w:rPr>
          <w:sz w:val="16"/>
          <w:szCs w:val="16"/>
        </w:rPr>
        <w:t xml:space="preserve">, J. Larson, S. </w:t>
      </w:r>
      <w:proofErr w:type="spellStart"/>
      <w:r>
        <w:rPr>
          <w:sz w:val="16"/>
          <w:szCs w:val="16"/>
        </w:rPr>
        <w:t>Mattu</w:t>
      </w:r>
      <w:proofErr w:type="spellEnd"/>
      <w:r>
        <w:rPr>
          <w:sz w:val="16"/>
          <w:szCs w:val="16"/>
        </w:rPr>
        <w:t xml:space="preserve">, and L. Kirchner, “Machine bias,” </w:t>
      </w:r>
      <w:proofErr w:type="spellStart"/>
      <w:r>
        <w:rPr>
          <w:i/>
          <w:iCs/>
          <w:sz w:val="16"/>
          <w:szCs w:val="16"/>
        </w:rPr>
        <w:t>ProPublica</w:t>
      </w:r>
      <w:proofErr w:type="spellEnd"/>
      <w:r>
        <w:rPr>
          <w:sz w:val="16"/>
          <w:szCs w:val="16"/>
        </w:rPr>
        <w:t>, May 23, 2016.</w:t>
      </w:r>
    </w:p>
    <w:p w14:paraId="1EE52835" w14:textId="77777777" w:rsidR="001F40C6" w:rsidRDefault="00EC754C">
      <w:pPr>
        <w:tabs>
          <w:tab w:val="left" w:pos="360"/>
        </w:tabs>
        <w:spacing w:after="20" w:line="200" w:lineRule="auto"/>
        <w:ind w:left="360" w:hanging="360"/>
        <w:jc w:val="both"/>
      </w:pPr>
      <w:r>
        <w:rPr>
          <w:sz w:val="16"/>
          <w:szCs w:val="16"/>
        </w:rPr>
        <w:t>[13]</w:t>
      </w:r>
      <w:r>
        <w:rPr>
          <w:sz w:val="16"/>
          <w:szCs w:val="16"/>
        </w:rPr>
        <w:tab/>
        <w:t xml:space="preserve">A. </w:t>
      </w:r>
      <w:proofErr w:type="spellStart"/>
      <w:r>
        <w:rPr>
          <w:sz w:val="16"/>
          <w:szCs w:val="16"/>
        </w:rPr>
        <w:t>Chouldechova</w:t>
      </w:r>
      <w:proofErr w:type="spellEnd"/>
      <w:r>
        <w:rPr>
          <w:sz w:val="16"/>
          <w:szCs w:val="16"/>
        </w:rPr>
        <w:t xml:space="preserve"> and A. Roth, “The frontiers of fairness in machine learning,” arXiv:1810.08810, 2018. [Online]. Available: https://arxiv.org/abs/1810.08810</w:t>
      </w:r>
    </w:p>
    <w:p w14:paraId="58443293" w14:textId="77777777" w:rsidR="001F40C6" w:rsidRDefault="00EC754C">
      <w:pPr>
        <w:tabs>
          <w:tab w:val="left" w:pos="360"/>
        </w:tabs>
        <w:spacing w:after="20" w:line="200" w:lineRule="auto"/>
        <w:ind w:left="360" w:hanging="360"/>
        <w:jc w:val="both"/>
      </w:pPr>
      <w:r>
        <w:rPr>
          <w:sz w:val="16"/>
          <w:szCs w:val="16"/>
        </w:rPr>
        <w:t>[14]</w:t>
      </w:r>
      <w:r>
        <w:rPr>
          <w:sz w:val="16"/>
          <w:szCs w:val="16"/>
        </w:rPr>
        <w:tab/>
      </w:r>
      <w:r>
        <w:rPr>
          <w:sz w:val="16"/>
          <w:szCs w:val="16"/>
        </w:rPr>
        <w:t xml:space="preserve">R. K. E. Bellamy et al., “AI Fairness 360: An extensible toolkit for detecting and mitigating algorithmic bias,” </w:t>
      </w:r>
      <w:r>
        <w:rPr>
          <w:i/>
          <w:iCs/>
          <w:sz w:val="16"/>
          <w:szCs w:val="16"/>
        </w:rPr>
        <w:t>IBM J. Res. Dev.</w:t>
      </w:r>
      <w:r>
        <w:rPr>
          <w:sz w:val="16"/>
          <w:szCs w:val="16"/>
        </w:rPr>
        <w:t>, vol. 63, no. 4/5, pp. 4:1–4:15, 2019.</w:t>
      </w:r>
    </w:p>
    <w:p w14:paraId="4B550985" w14:textId="77777777" w:rsidR="001F40C6" w:rsidRDefault="00EC754C">
      <w:pPr>
        <w:tabs>
          <w:tab w:val="left" w:pos="360"/>
        </w:tabs>
        <w:spacing w:after="20" w:line="200" w:lineRule="auto"/>
        <w:ind w:left="360" w:hanging="360"/>
        <w:jc w:val="both"/>
      </w:pPr>
      <w:r>
        <w:rPr>
          <w:sz w:val="16"/>
          <w:szCs w:val="16"/>
        </w:rPr>
        <w:t>[15]</w:t>
      </w:r>
      <w:r>
        <w:rPr>
          <w:sz w:val="16"/>
          <w:szCs w:val="16"/>
        </w:rPr>
        <w:tab/>
        <w:t>S. Bird et al., “</w:t>
      </w:r>
      <w:proofErr w:type="spellStart"/>
      <w:r>
        <w:rPr>
          <w:sz w:val="16"/>
          <w:szCs w:val="16"/>
        </w:rPr>
        <w:t>Fairlearn</w:t>
      </w:r>
      <w:proofErr w:type="spellEnd"/>
      <w:r>
        <w:rPr>
          <w:sz w:val="16"/>
          <w:szCs w:val="16"/>
        </w:rPr>
        <w:t>: A toolkit for assessing and improving fairness in AI,” Microsoft, Tech. Rep. MSR-TR-2020-32, 2020.</w:t>
      </w:r>
    </w:p>
    <w:p w14:paraId="185AFE2C" w14:textId="77777777" w:rsidR="001F40C6" w:rsidRDefault="00EC754C">
      <w:pPr>
        <w:tabs>
          <w:tab w:val="left" w:pos="360"/>
        </w:tabs>
        <w:spacing w:after="20" w:line="200" w:lineRule="auto"/>
        <w:ind w:left="360" w:hanging="360"/>
        <w:jc w:val="both"/>
      </w:pPr>
      <w:r>
        <w:rPr>
          <w:sz w:val="16"/>
          <w:szCs w:val="16"/>
        </w:rPr>
        <w:t>[16]</w:t>
      </w:r>
      <w:r>
        <w:rPr>
          <w:sz w:val="16"/>
          <w:szCs w:val="16"/>
        </w:rPr>
        <w:tab/>
        <w:t xml:space="preserve">T. </w:t>
      </w:r>
      <w:proofErr w:type="spellStart"/>
      <w:r>
        <w:rPr>
          <w:sz w:val="16"/>
          <w:szCs w:val="16"/>
        </w:rPr>
        <w:t>Gebru</w:t>
      </w:r>
      <w:proofErr w:type="spellEnd"/>
      <w:r>
        <w:rPr>
          <w:sz w:val="16"/>
          <w:szCs w:val="16"/>
        </w:rPr>
        <w:t xml:space="preserve"> et al., “Datasheets for datasets,” </w:t>
      </w:r>
      <w:proofErr w:type="spellStart"/>
      <w:r>
        <w:rPr>
          <w:i/>
          <w:iCs/>
          <w:sz w:val="16"/>
          <w:szCs w:val="16"/>
        </w:rPr>
        <w:t>Commun</w:t>
      </w:r>
      <w:proofErr w:type="spellEnd"/>
      <w:r>
        <w:rPr>
          <w:i/>
          <w:iCs/>
          <w:sz w:val="16"/>
          <w:szCs w:val="16"/>
        </w:rPr>
        <w:t>. ACM</w:t>
      </w:r>
      <w:r>
        <w:rPr>
          <w:sz w:val="16"/>
          <w:szCs w:val="16"/>
        </w:rPr>
        <w:t>, vol. 64, no. 12, pp. 86–92, 2021.</w:t>
      </w:r>
    </w:p>
    <w:p w14:paraId="75D5A311" w14:textId="77777777" w:rsidR="001F40C6" w:rsidRDefault="00EC754C">
      <w:pPr>
        <w:tabs>
          <w:tab w:val="left" w:pos="360"/>
        </w:tabs>
        <w:spacing w:after="20" w:line="200" w:lineRule="auto"/>
        <w:ind w:left="360" w:hanging="360"/>
        <w:jc w:val="both"/>
      </w:pPr>
      <w:r>
        <w:rPr>
          <w:sz w:val="16"/>
          <w:szCs w:val="16"/>
        </w:rPr>
        <w:t>[17]</w:t>
      </w:r>
      <w:r>
        <w:rPr>
          <w:sz w:val="16"/>
          <w:szCs w:val="16"/>
        </w:rPr>
        <w:tab/>
        <w:t xml:space="preserve">M. Mitchell et al., “Model cards for model reporting,” in </w:t>
      </w:r>
      <w:r>
        <w:rPr>
          <w:i/>
          <w:iCs/>
          <w:sz w:val="16"/>
          <w:szCs w:val="16"/>
        </w:rPr>
        <w:t>Proc. Conf. Fairness, Accountability, and Transparency (FAT∗)</w:t>
      </w:r>
      <w:r>
        <w:rPr>
          <w:sz w:val="16"/>
          <w:szCs w:val="16"/>
        </w:rPr>
        <w:t>, 2019, pp. 220–229.</w:t>
      </w:r>
    </w:p>
    <w:p w14:paraId="1FDDAF26" w14:textId="77777777" w:rsidR="001F40C6" w:rsidRDefault="00EC754C">
      <w:pPr>
        <w:tabs>
          <w:tab w:val="left" w:pos="360"/>
        </w:tabs>
        <w:spacing w:after="20" w:line="200" w:lineRule="auto"/>
        <w:ind w:left="360" w:hanging="360"/>
        <w:jc w:val="both"/>
      </w:pPr>
      <w:r>
        <w:rPr>
          <w:sz w:val="16"/>
          <w:szCs w:val="16"/>
        </w:rPr>
        <w:t>[18]</w:t>
      </w:r>
      <w:r>
        <w:rPr>
          <w:sz w:val="16"/>
          <w:szCs w:val="16"/>
        </w:rPr>
        <w:tab/>
        <w:t xml:space="preserve">European Parliament and Council of the EU, “Regulation (EU) 2024/1689 laying down harmonised rules on artificial intelligence (Artificial Intelligence Act),” </w:t>
      </w:r>
      <w:r>
        <w:rPr>
          <w:i/>
          <w:iCs/>
          <w:sz w:val="16"/>
          <w:szCs w:val="16"/>
        </w:rPr>
        <w:t>Official Journal of the European Union</w:t>
      </w:r>
      <w:r>
        <w:rPr>
          <w:sz w:val="16"/>
          <w:szCs w:val="16"/>
        </w:rPr>
        <w:t>, 2024.</w:t>
      </w:r>
    </w:p>
    <w:p w14:paraId="169514E8" w14:textId="77777777" w:rsidR="001F40C6" w:rsidRDefault="00EC754C">
      <w:pPr>
        <w:tabs>
          <w:tab w:val="left" w:pos="360"/>
        </w:tabs>
        <w:spacing w:after="20" w:line="200" w:lineRule="auto"/>
        <w:ind w:left="360" w:hanging="360"/>
        <w:jc w:val="both"/>
      </w:pPr>
      <w:r>
        <w:rPr>
          <w:sz w:val="16"/>
          <w:szCs w:val="16"/>
        </w:rPr>
        <w:t>[19]</w:t>
      </w:r>
      <w:r>
        <w:rPr>
          <w:sz w:val="16"/>
          <w:szCs w:val="16"/>
        </w:rPr>
        <w:tab/>
        <w:t xml:space="preserve">H. Suresh and J. </w:t>
      </w:r>
      <w:proofErr w:type="spellStart"/>
      <w:r>
        <w:rPr>
          <w:sz w:val="16"/>
          <w:szCs w:val="16"/>
        </w:rPr>
        <w:t>Guttag</w:t>
      </w:r>
      <w:proofErr w:type="spellEnd"/>
      <w:r>
        <w:rPr>
          <w:sz w:val="16"/>
          <w:szCs w:val="16"/>
        </w:rPr>
        <w:t xml:space="preserve">, “A framework for understanding sources of harm throughout the machine learning life cycle,” in </w:t>
      </w:r>
      <w:r>
        <w:rPr>
          <w:i/>
          <w:iCs/>
          <w:sz w:val="16"/>
          <w:szCs w:val="16"/>
        </w:rPr>
        <w:t>Proc. ACM Conf. Equity and Access in Algorithms, Mechanisms, and Optimization (EAAMO)</w:t>
      </w:r>
      <w:r>
        <w:rPr>
          <w:sz w:val="16"/>
          <w:szCs w:val="16"/>
        </w:rPr>
        <w:t>, 2021.</w:t>
      </w:r>
    </w:p>
    <w:p w14:paraId="704FC26C" w14:textId="77777777" w:rsidR="001F40C6" w:rsidRDefault="00EC754C">
      <w:pPr>
        <w:tabs>
          <w:tab w:val="left" w:pos="360"/>
        </w:tabs>
        <w:spacing w:after="20" w:line="200" w:lineRule="auto"/>
        <w:ind w:left="360" w:hanging="360"/>
        <w:jc w:val="both"/>
      </w:pPr>
      <w:r>
        <w:rPr>
          <w:sz w:val="16"/>
          <w:szCs w:val="16"/>
        </w:rPr>
        <w:t>[20]</w:t>
      </w:r>
      <w:r>
        <w:rPr>
          <w:sz w:val="16"/>
          <w:szCs w:val="16"/>
        </w:rPr>
        <w:tab/>
        <w:t xml:space="preserve">F. </w:t>
      </w:r>
      <w:proofErr w:type="spellStart"/>
      <w:r>
        <w:rPr>
          <w:sz w:val="16"/>
          <w:szCs w:val="16"/>
        </w:rPr>
        <w:t>Kamiran</w:t>
      </w:r>
      <w:proofErr w:type="spellEnd"/>
      <w:r>
        <w:rPr>
          <w:sz w:val="16"/>
          <w:szCs w:val="16"/>
        </w:rPr>
        <w:t xml:space="preserve"> and T. </w:t>
      </w:r>
      <w:proofErr w:type="spellStart"/>
      <w:r>
        <w:rPr>
          <w:sz w:val="16"/>
          <w:szCs w:val="16"/>
        </w:rPr>
        <w:t>Calders</w:t>
      </w:r>
      <w:proofErr w:type="spellEnd"/>
      <w:r>
        <w:rPr>
          <w:sz w:val="16"/>
          <w:szCs w:val="16"/>
        </w:rPr>
        <w:t xml:space="preserve">, “Data </w:t>
      </w:r>
      <w:proofErr w:type="spellStart"/>
      <w:r>
        <w:rPr>
          <w:sz w:val="16"/>
          <w:szCs w:val="16"/>
        </w:rPr>
        <w:t>preprocessing</w:t>
      </w:r>
      <w:proofErr w:type="spellEnd"/>
      <w:r>
        <w:rPr>
          <w:sz w:val="16"/>
          <w:szCs w:val="16"/>
        </w:rPr>
        <w:t xml:space="preserve"> techniques for classification without discrimination,” </w:t>
      </w:r>
      <w:proofErr w:type="spellStart"/>
      <w:r>
        <w:rPr>
          <w:i/>
          <w:iCs/>
          <w:sz w:val="16"/>
          <w:szCs w:val="16"/>
        </w:rPr>
        <w:t>Knowl</w:t>
      </w:r>
      <w:proofErr w:type="spellEnd"/>
      <w:r>
        <w:rPr>
          <w:i/>
          <w:iCs/>
          <w:sz w:val="16"/>
          <w:szCs w:val="16"/>
        </w:rPr>
        <w:t>. Inf. Syst.</w:t>
      </w:r>
      <w:r>
        <w:rPr>
          <w:sz w:val="16"/>
          <w:szCs w:val="16"/>
        </w:rPr>
        <w:t>, vol. 33, no. 1, pp. 1–33, 2012.</w:t>
      </w:r>
    </w:p>
    <w:p w14:paraId="3EE2A7A4" w14:textId="77777777" w:rsidR="001F40C6" w:rsidRDefault="00EC754C">
      <w:pPr>
        <w:tabs>
          <w:tab w:val="left" w:pos="360"/>
        </w:tabs>
        <w:spacing w:after="20" w:line="200" w:lineRule="auto"/>
        <w:ind w:left="360" w:hanging="360"/>
        <w:jc w:val="both"/>
      </w:pPr>
      <w:r>
        <w:rPr>
          <w:sz w:val="16"/>
          <w:szCs w:val="16"/>
        </w:rPr>
        <w:t>[21]</w:t>
      </w:r>
      <w:r>
        <w:rPr>
          <w:sz w:val="16"/>
          <w:szCs w:val="16"/>
        </w:rPr>
        <w:tab/>
        <w:t xml:space="preserve">B. H. Zhang, B. </w:t>
      </w:r>
      <w:proofErr w:type="spellStart"/>
      <w:r>
        <w:rPr>
          <w:sz w:val="16"/>
          <w:szCs w:val="16"/>
        </w:rPr>
        <w:t>Lemoine</w:t>
      </w:r>
      <w:proofErr w:type="spellEnd"/>
      <w:r>
        <w:rPr>
          <w:sz w:val="16"/>
          <w:szCs w:val="16"/>
        </w:rPr>
        <w:t xml:space="preserve">, and M. Mitchell, “Mitigating unwanted biases with adversarial learning,” in </w:t>
      </w:r>
      <w:r>
        <w:rPr>
          <w:i/>
          <w:iCs/>
          <w:sz w:val="16"/>
          <w:szCs w:val="16"/>
        </w:rPr>
        <w:t>Proc. AAAI/ACM Conf. AI, Ethics, and Society (AIES)</w:t>
      </w:r>
      <w:r>
        <w:rPr>
          <w:sz w:val="16"/>
          <w:szCs w:val="16"/>
        </w:rPr>
        <w:t>, 2018, pp. 335–340.</w:t>
      </w:r>
    </w:p>
    <w:p w14:paraId="1846028A" w14:textId="77777777" w:rsidR="001F40C6" w:rsidRDefault="00EC754C">
      <w:pPr>
        <w:tabs>
          <w:tab w:val="left" w:pos="360"/>
        </w:tabs>
        <w:spacing w:after="20" w:line="200" w:lineRule="auto"/>
        <w:ind w:left="360" w:hanging="360"/>
        <w:jc w:val="both"/>
      </w:pPr>
      <w:r>
        <w:rPr>
          <w:sz w:val="16"/>
          <w:szCs w:val="16"/>
        </w:rPr>
        <w:t>[22]</w:t>
      </w:r>
      <w:r>
        <w:rPr>
          <w:sz w:val="16"/>
          <w:szCs w:val="16"/>
        </w:rPr>
        <w:tab/>
        <w:t xml:space="preserve">S. M. Lundberg and S.-I. Lee, “A unified approach to interpreting model predictions,” in </w:t>
      </w:r>
      <w:r>
        <w:rPr>
          <w:i/>
          <w:iCs/>
          <w:sz w:val="16"/>
          <w:szCs w:val="16"/>
        </w:rPr>
        <w:t>Proc. Adv. Neural Inf. Process. Syst. (</w:t>
      </w:r>
      <w:proofErr w:type="spellStart"/>
      <w:r>
        <w:rPr>
          <w:i/>
          <w:iCs/>
          <w:sz w:val="16"/>
          <w:szCs w:val="16"/>
        </w:rPr>
        <w:t>NeurIPS</w:t>
      </w:r>
      <w:proofErr w:type="spellEnd"/>
      <w:r>
        <w:rPr>
          <w:i/>
          <w:iCs/>
          <w:sz w:val="16"/>
          <w:szCs w:val="16"/>
        </w:rPr>
        <w:t>)</w:t>
      </w:r>
      <w:r>
        <w:rPr>
          <w:sz w:val="16"/>
          <w:szCs w:val="16"/>
        </w:rPr>
        <w:t>, 2017, pp. 4765–4774.</w:t>
      </w:r>
    </w:p>
    <w:p w14:paraId="50DC384E" w14:textId="77777777" w:rsidR="001F40C6" w:rsidRDefault="00EC754C">
      <w:pPr>
        <w:tabs>
          <w:tab w:val="left" w:pos="360"/>
        </w:tabs>
        <w:spacing w:after="20" w:line="200" w:lineRule="auto"/>
        <w:ind w:left="360" w:hanging="360"/>
        <w:jc w:val="both"/>
      </w:pPr>
      <w:r>
        <w:rPr>
          <w:sz w:val="16"/>
          <w:szCs w:val="16"/>
        </w:rPr>
        <w:t>[23]</w:t>
      </w:r>
      <w:r>
        <w:rPr>
          <w:sz w:val="16"/>
          <w:szCs w:val="16"/>
        </w:rPr>
        <w:tab/>
      </w:r>
      <w:r>
        <w:rPr>
          <w:sz w:val="16"/>
          <w:szCs w:val="16"/>
        </w:rPr>
        <w:t xml:space="preserve">D. </w:t>
      </w:r>
      <w:proofErr w:type="spellStart"/>
      <w:r>
        <w:rPr>
          <w:sz w:val="16"/>
          <w:szCs w:val="16"/>
        </w:rPr>
        <w:t>Dua</w:t>
      </w:r>
      <w:proofErr w:type="spellEnd"/>
      <w:r>
        <w:rPr>
          <w:sz w:val="16"/>
          <w:szCs w:val="16"/>
        </w:rPr>
        <w:t xml:space="preserve"> and C. Graff, “UCI Machine Learning Repository,” Univ. California, Irvine, Sch. Inf. </w:t>
      </w:r>
      <w:proofErr w:type="spellStart"/>
      <w:r>
        <w:rPr>
          <w:sz w:val="16"/>
          <w:szCs w:val="16"/>
        </w:rPr>
        <w:t>Comput</w:t>
      </w:r>
      <w:proofErr w:type="spellEnd"/>
      <w:r>
        <w:rPr>
          <w:sz w:val="16"/>
          <w:szCs w:val="16"/>
        </w:rPr>
        <w:t>. Sci., 2019. [Online]. Available: https://archive.ics.uci.edu/ml</w:t>
      </w:r>
    </w:p>
    <w:sectPr w:rsidR="001F40C6">
      <w:type w:val="continuous"/>
      <w:pgSz w:w="11906" w:h="16838"/>
      <w:pgMar w:top="1080" w:right="812" w:bottom="2438" w:left="812" w:header="708" w:footer="708" w:gutter="0"/>
      <w:cols w:num="2" w:space="239"/>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ACF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097BC4"/>
    <w:multiLevelType w:val="hybridMultilevel"/>
    <w:tmpl w:val="A72A8F48"/>
    <w:lvl w:ilvl="0" w:tplc="402C2766">
      <w:start w:val="1"/>
      <w:numFmt w:val="bullet"/>
      <w:lvlText w:val="●"/>
      <w:lvlJc w:val="left"/>
      <w:pPr>
        <w:ind w:left="720" w:hanging="360"/>
      </w:pPr>
    </w:lvl>
    <w:lvl w:ilvl="1" w:tplc="BCE8CA08">
      <w:start w:val="1"/>
      <w:numFmt w:val="bullet"/>
      <w:lvlText w:val="○"/>
      <w:lvlJc w:val="left"/>
      <w:pPr>
        <w:ind w:left="1440" w:hanging="360"/>
      </w:pPr>
    </w:lvl>
    <w:lvl w:ilvl="2" w:tplc="48A2CE5A">
      <w:start w:val="1"/>
      <w:numFmt w:val="bullet"/>
      <w:lvlText w:val="■"/>
      <w:lvlJc w:val="left"/>
      <w:pPr>
        <w:ind w:left="2160" w:hanging="360"/>
      </w:pPr>
    </w:lvl>
    <w:lvl w:ilvl="3" w:tplc="1306394E">
      <w:start w:val="1"/>
      <w:numFmt w:val="bullet"/>
      <w:lvlText w:val="●"/>
      <w:lvlJc w:val="left"/>
      <w:pPr>
        <w:ind w:left="2880" w:hanging="360"/>
      </w:pPr>
    </w:lvl>
    <w:lvl w:ilvl="4" w:tplc="ADA637F2">
      <w:start w:val="1"/>
      <w:numFmt w:val="bullet"/>
      <w:lvlText w:val="○"/>
      <w:lvlJc w:val="left"/>
      <w:pPr>
        <w:ind w:left="3600" w:hanging="360"/>
      </w:pPr>
    </w:lvl>
    <w:lvl w:ilvl="5" w:tplc="8CDEA060">
      <w:start w:val="1"/>
      <w:numFmt w:val="bullet"/>
      <w:lvlText w:val="■"/>
      <w:lvlJc w:val="left"/>
      <w:pPr>
        <w:ind w:left="4320" w:hanging="360"/>
      </w:pPr>
    </w:lvl>
    <w:lvl w:ilvl="6" w:tplc="FB8CECC2">
      <w:start w:val="1"/>
      <w:numFmt w:val="bullet"/>
      <w:lvlText w:val="●"/>
      <w:lvlJc w:val="left"/>
      <w:pPr>
        <w:ind w:left="5040" w:hanging="360"/>
      </w:pPr>
    </w:lvl>
    <w:lvl w:ilvl="7" w:tplc="6D4095FA">
      <w:start w:val="1"/>
      <w:numFmt w:val="bullet"/>
      <w:lvlText w:val="●"/>
      <w:lvlJc w:val="left"/>
      <w:pPr>
        <w:ind w:left="5760" w:hanging="360"/>
      </w:pPr>
    </w:lvl>
    <w:lvl w:ilvl="8" w:tplc="39D29E50">
      <w:start w:val="1"/>
      <w:numFmt w:val="bullet"/>
      <w:lvlText w:val="●"/>
      <w:lvlJc w:val="left"/>
      <w:pPr>
        <w:ind w:left="6480" w:hanging="360"/>
      </w:pPr>
    </w:lvl>
  </w:abstractNum>
  <w:abstractNum w:abstractNumId="1" w15:restartNumberingAfterBreak="0">
    <w:nsid w:val="769E5F4B"/>
    <w:multiLevelType w:val="hybridMultilevel"/>
    <w:tmpl w:val="F6E8DD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05292033">
    <w:abstractNumId w:val="0"/>
    <w:lvlOverride w:ilvl="0">
      <w:startOverride w:val="1"/>
    </w:lvlOverride>
  </w:num>
  <w:num w:numId="2" w16cid:durableId="7147681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proofState w:spelling="clean" w:grammar="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40C6"/>
    <w:rsid w:val="000625AE"/>
    <w:rsid w:val="000E4618"/>
    <w:rsid w:val="001F40C6"/>
    <w:rsid w:val="003952E5"/>
    <w:rsid w:val="004C653E"/>
    <w:rsid w:val="0070598E"/>
    <w:rsid w:val="00CB3367"/>
    <w:rsid w:val="00EC75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293940"/>
  <w15:docId w15:val="{495CB2AA-3567-46D5-8741-80568DBED5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160" w:after="80"/>
      <w:jc w:val="center"/>
      <w:outlineLvl w:val="0"/>
    </w:pPr>
    <w:rPr>
      <w:color w:val="000000"/>
    </w:rPr>
  </w:style>
  <w:style w:type="paragraph" w:styleId="Heading2">
    <w:name w:val="heading 2"/>
    <w:uiPriority w:val="9"/>
    <w:unhideWhenUsed/>
    <w:qFormat/>
    <w:pPr>
      <w:keepNext/>
      <w:spacing w:before="60" w:after="30"/>
      <w:outlineLvl w:val="1"/>
    </w:pPr>
    <w:rPr>
      <w:i/>
      <w:iCs/>
      <w:color w:val="000000"/>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9E45BCADE012848BADD84F0F5519C36" ma:contentTypeVersion="13" ma:contentTypeDescription="Create a new document." ma:contentTypeScope="" ma:versionID="749d6923f222eb45ac0dc6063575a178">
  <xsd:schema xmlns:xsd="http://www.w3.org/2001/XMLSchema" xmlns:xs="http://www.w3.org/2001/XMLSchema" xmlns:p="http://schemas.microsoft.com/office/2006/metadata/properties" xmlns:ns2="c49d017b-ac22-4c0b-a7a4-c8b9eca6cd70" xmlns:ns3="e0d206d7-ee7c-42da-b133-6e7342787b39" targetNamespace="http://schemas.microsoft.com/office/2006/metadata/properties" ma:root="true" ma:fieldsID="e99e7a50f06ef0e0bf1d9a36c1212498" ns2:_="" ns3:_="">
    <xsd:import namespace="c49d017b-ac22-4c0b-a7a4-c8b9eca6cd70"/>
    <xsd:import namespace="e0d206d7-ee7c-42da-b133-6e7342787b39"/>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Location"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49d017b-ac22-4c0b-a7a4-c8b9eca6cd70"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5c09e8c-4242-4efc-8aa0-958213fa9c5a"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0d206d7-ee7c-42da-b133-6e7342787b39"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35d6c0a8-0dd6-40f9-b8c8-aca075772b73}" ma:internalName="TaxCatchAll" ma:showField="CatchAllData" ma:web="e0d206d7-ee7c-42da-b133-6e7342787b3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49d017b-ac22-4c0b-a7a4-c8b9eca6cd70">
      <Terms xmlns="http://schemas.microsoft.com/office/infopath/2007/PartnerControls"/>
    </lcf76f155ced4ddcb4097134ff3c332f>
    <TaxCatchAll xmlns="e0d206d7-ee7c-42da-b133-6e7342787b39" xsi:nil="true"/>
    <ReferenceId xmlns="c49d017b-ac22-4c0b-a7a4-c8b9eca6cd70" xsi:nil="true"/>
  </documentManagement>
</p:properties>
</file>

<file path=customXml/itemProps1.xml><?xml version="1.0" encoding="utf-8"?>
<ds:datastoreItem xmlns:ds="http://schemas.openxmlformats.org/officeDocument/2006/customXml" ds:itemID="{285AE98F-C88A-4AB7-A5FA-2A359E0888E4}"/>
</file>

<file path=customXml/itemProps2.xml><?xml version="1.0" encoding="utf-8"?>
<ds:datastoreItem xmlns:ds="http://schemas.openxmlformats.org/officeDocument/2006/customXml" ds:itemID="{74AC81EE-EC3A-4C69-AE59-B696120F54F4}"/>
</file>

<file path=customXml/itemProps3.xml><?xml version="1.0" encoding="utf-8"?>
<ds:datastoreItem xmlns:ds="http://schemas.openxmlformats.org/officeDocument/2006/customXml" ds:itemID="{EFB150C2-4458-4455-8F94-890713F8FCB2}"/>
</file>

<file path=docProps/app.xml><?xml version="1.0" encoding="utf-8"?>
<Properties xmlns="http://schemas.openxmlformats.org/officeDocument/2006/extended-properties" xmlns:vt="http://schemas.openxmlformats.org/officeDocument/2006/docPropsVTypes">
  <Template>Normal</Template>
  <TotalTime>0</TotalTime>
  <Pages>1</Pages>
  <Words>3067</Words>
  <Characters>17487</Characters>
  <Application>Microsoft Office Word</Application>
  <DocSecurity>0</DocSecurity>
  <Lines>145</Lines>
  <Paragraphs>41</Paragraphs>
  <ScaleCrop>false</ScaleCrop>
  <Company/>
  <LinksUpToDate>false</LinksUpToDate>
  <CharactersWithSpaces>20513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Bias Mitigation</dc:title>
  <dc:creator>Tanushree Vilas Bane, Ayushi Jain, Krishna Shinde, Riya Vartha</dc:creator>
  <cp:lastModifiedBy>Riya Vartha</cp:lastModifiedBy>
  <cp:revision>2</cp:revision>
  <dcterms:created xsi:type="dcterms:W3CDTF">2026-10-20T17:41:00Z</dcterms:created>
  <dcterms:modified xsi:type="dcterms:W3CDTF">2026-10-20T17:41:00Z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0x01010029E45BCADE012848BADD84F0F5519C36</vt:lpwstr>
  </property>
</Properties>
</file>