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Comparative Study of E-Waste Management Rules</w:t>
        <w:br/>
        <w:t>in Five North American Countries</w:t>
      </w:r>
    </w:p>
    <w:p>
      <w:pPr>
        <w:jc w:val="center"/>
      </w:pPr>
      <w:r>
        <w:rPr>
          <w:i/>
          <w:sz w:val="22"/>
        </w:rPr>
        <w:t>Countries: Canada, United States, Mexico, Costa Rica and Panama</w:t>
      </w:r>
    </w:p>
    <w:p>
      <w:pPr>
        <w:pStyle w:val="Heading1"/>
      </w:pPr>
      <w:r>
        <w:t>1. Introduction</w:t>
      </w:r>
    </w:p>
    <w:p>
      <w:r>
        <w:t>Electronic waste (e-waste) refers to discarded electrical and electronic equipment such as computers, mobile phones, televisions, printers, refrigerators, monitors and other electronic devices. The rapid growth of technology has increased the generation of e-waste. Electronic products may contain valuable materials such as copper, aluminium and precious metals, but they can also contain hazardous substances such as lead and mercury. Improper disposal can therefore create environmental and health risks.</w:t>
      </w:r>
    </w:p>
    <w:p>
      <w:r>
        <w:t>Different countries have adopted different approaches to managing e-waste. Some countries use Extended Producer Responsibility (EPR), where producers have responsibility for products at the end of their useful life. Others use state/provincial regulations or general waste-management laws. This assignment compares the e-waste management frameworks of Canada, the United States, Mexico, Costa Rica and Panama.</w:t>
      </w:r>
    </w:p>
    <w:p>
      <w:pPr>
        <w:pStyle w:val="Heading1"/>
      </w:pPr>
      <w:r>
        <w:t>2. Canada</w:t>
      </w:r>
    </w:p>
    <w:p>
      <w:r>
        <w:t>Canada does not have one single nationwide e-waste recycling law. The management of end-of-life electronic and electrical equipment is primarily handled by provincial and territorial governments.</w:t>
      </w:r>
    </w:p>
    <w:p>
      <w:r>
        <w:t>Most Canadian jurisdictions have introduced Extended Producer Responsibility (EPR) programs for e-waste. Under these systems, producers and other industry participants can have responsibilities related to the collection and environmentally sound management of products after consumers discard them.</w:t>
      </w:r>
    </w:p>
    <w:p>
      <w:pPr>
        <w:pStyle w:val="Heading2"/>
      </w:pPr>
      <w:r>
        <w:t>Main Features</w:t>
      </w:r>
    </w:p>
    <w:p>
      <w:pPr>
        <w:pStyle w:val="ListBullet"/>
      </w:pPr>
      <w:r>
        <w:t>E-waste management is mainly provincial/territorial.</w:t>
      </w:r>
    </w:p>
    <w:p>
      <w:pPr>
        <w:pStyle w:val="ListBullet"/>
      </w:pPr>
      <w:r>
        <w:t>EPR is widely used.</w:t>
      </w:r>
    </w:p>
    <w:p>
      <w:pPr>
        <w:pStyle w:val="ListBullet"/>
      </w:pPr>
      <w:r>
        <w:t>Producers and industry organizations participate in collection and recycling.</w:t>
      </w:r>
    </w:p>
    <w:p>
      <w:pPr>
        <w:pStyle w:val="ListBullet"/>
      </w:pPr>
      <w:r>
        <w:t>Collection programs differ between provinces.</w:t>
      </w:r>
    </w:p>
    <w:p>
      <w:pPr>
        <w:pStyle w:val="ListBullet"/>
      </w:pPr>
      <w:r>
        <w:t>Municipalities can also have roles in waste collection.</w:t>
      </w:r>
    </w:p>
    <w:p>
      <w:r>
        <w:t>Advantage: The EPR approach makes producers participate in the management of electronic products after their useful life.</w:t>
      </w:r>
    </w:p>
    <w:p>
      <w:r>
        <w:t>Limitation: Rules are not completely uniform across Canada because provinces and territories have different programs and requirements.</w:t>
      </w:r>
    </w:p>
    <w:p>
      <w:pPr>
        <w:pStyle w:val="Heading1"/>
      </w:pPr>
      <w:r>
        <w:t>3. United States</w:t>
      </w:r>
    </w:p>
    <w:p>
      <w:r>
        <w:t>The United States has a decentralized e-waste regulatory system. There is no single nationwide electronics-recycling law covering all consumer electronics. Instead, individual states have developed their own electronics recycling laws.</w:t>
      </w:r>
    </w:p>
    <w:p>
      <w:r>
        <w:t>According to the U.S. Environmental Protection Agency, 25 states plus Washington, D.C. have electronics recycling laws. The federal government also regulates certain electronic wastes under broader environmental regulations, while states can have additional requirements.</w:t>
      </w:r>
    </w:p>
    <w:p>
      <w:pPr>
        <w:pStyle w:val="Heading2"/>
      </w:pPr>
      <w:r>
        <w:t>Main Features</w:t>
      </w:r>
    </w:p>
    <w:p>
      <w:pPr>
        <w:pStyle w:val="ListBullet"/>
      </w:pPr>
      <w:r>
        <w:t>Federal and state regulatory structure.</w:t>
      </w:r>
    </w:p>
    <w:p>
      <w:pPr>
        <w:pStyle w:val="ListBullet"/>
      </w:pPr>
      <w:r>
        <w:t>Individual states can establish electronics recycling programs.</w:t>
      </w:r>
    </w:p>
    <w:p>
      <w:pPr>
        <w:pStyle w:val="ListBullet"/>
      </w:pPr>
      <w:r>
        <w:t>Requirements differ significantly between states.</w:t>
      </w:r>
    </w:p>
    <w:p>
      <w:pPr>
        <w:pStyle w:val="ListBullet"/>
      </w:pPr>
      <w:r>
        <w:t>Some states have producer-responsibility programs.</w:t>
      </w:r>
    </w:p>
    <w:p>
      <w:pPr>
        <w:pStyle w:val="ListBullet"/>
      </w:pPr>
      <w:r>
        <w:t>Some states regulate electronics through universal-waste rules.</w:t>
      </w:r>
    </w:p>
    <w:p>
      <w:r>
        <w:t>Advantage: Individual states can develop programs suited to their own environmental and waste-management conditions.</w:t>
      </w:r>
    </w:p>
    <w:p>
      <w:r>
        <w:t>Limitation: The major problem is fragmentation. A rule applicable in one state may not apply in another.</w:t>
      </w:r>
    </w:p>
    <w:p>
      <w:pPr>
        <w:pStyle w:val="Heading1"/>
      </w:pPr>
      <w:r>
        <w:t>4. Mexico</w:t>
      </w:r>
    </w:p>
    <w:p>
      <w:r>
        <w:t>Mexico regulates e-waste mainly through its national waste-management framework. The General Law for the Prevention and Integral Management of Waste (LGPGIR) establishes the framework for Residuos de Manejo Especial (special-management waste). Electronic appliances and equipment can fall within this category.</w:t>
      </w:r>
    </w:p>
    <w:p>
      <w:r>
        <w:t>An important regulation is NOM-161-SEMARNAT-2011. This standard establishes criteria for classifying special-management waste, identifies wastes subject to management plans, and specifies elements and procedures for preparing those plans.</w:t>
      </w:r>
    </w:p>
    <w:p>
      <w:r>
        <w:t>Mexico's environmental authority also recognizes electronic equipment among special-management waste and maintains information about management plans for end-of-life electronic and electrical equipment.</w:t>
      </w:r>
    </w:p>
    <w:p>
      <w:pPr>
        <w:pStyle w:val="Heading2"/>
      </w:pPr>
      <w:r>
        <w:t>Main Features</w:t>
      </w:r>
    </w:p>
    <w:p>
      <w:pPr>
        <w:pStyle w:val="ListBullet"/>
      </w:pPr>
      <w:r>
        <w:t>National regulatory framework.</w:t>
      </w:r>
    </w:p>
    <w:p>
      <w:pPr>
        <w:pStyle w:val="ListBullet"/>
      </w:pPr>
      <w:r>
        <w:t>Electronic waste can be classified as special-management waste.</w:t>
      </w:r>
    </w:p>
    <w:p>
      <w:pPr>
        <w:pStyle w:val="ListBullet"/>
      </w:pPr>
      <w:r>
        <w:t>Certain electronic waste is subject to management plans.</w:t>
      </w:r>
    </w:p>
    <w:p>
      <w:pPr>
        <w:pStyle w:val="ListBullet"/>
      </w:pPr>
      <w:r>
        <w:t>Producers and organizations can establish individual, collective or national management plans.</w:t>
      </w:r>
    </w:p>
    <w:p>
      <w:pPr>
        <w:pStyle w:val="ListBullet"/>
      </w:pPr>
      <w:r>
        <w:t>Government monitors the management framework.</w:t>
      </w:r>
    </w:p>
    <w:p>
      <w:r>
        <w:t>Advantage: Mexico has a clearly defined national classification and management-plan system.</w:t>
      </w:r>
    </w:p>
    <w:p>
      <w:r>
        <w:t>Limitation: The existence of a national framework does not automatically mean that collection and recycling are equally effective everywhere.</w:t>
      </w:r>
    </w:p>
    <w:p>
      <w:pPr>
        <w:pStyle w:val="Heading1"/>
      </w:pPr>
      <w:r>
        <w:t>5. Costa Rica</w:t>
      </w:r>
    </w:p>
    <w:p>
      <w:r>
        <w:t>Costa Rica is one of the strongest examples among these five countries because it has a regulation specifically dedicated to electronic waste.</w:t>
      </w:r>
    </w:p>
    <w:p>
      <w:r>
        <w:t>The main regulation is Decreto Ejecutivo No. 35933-S – Reglamento para la Gestión Integral de los Residuos Electrónicos. It was issued on 12 February 2010 and entered into force on 5 May 2010.</w:t>
      </w:r>
    </w:p>
    <w:p>
      <w:pPr>
        <w:pStyle w:val="Heading2"/>
      </w:pPr>
      <w:r>
        <w:t>Main Features</w:t>
      </w:r>
    </w:p>
    <w:p>
      <w:pPr>
        <w:pStyle w:val="ListBullet"/>
      </w:pPr>
      <w:r>
        <w:t>Dedicated national e-waste regulation.</w:t>
      </w:r>
    </w:p>
    <w:p>
      <w:pPr>
        <w:pStyle w:val="ListBullet"/>
      </w:pPr>
      <w:r>
        <w:t>Covers electronic waste from domestic and commercial electronic equipment.</w:t>
      </w:r>
    </w:p>
    <w:p>
      <w:pPr>
        <w:pStyle w:val="ListBullet"/>
      </w:pPr>
      <w:r>
        <w:t>Establishes institutional responsibilities.</w:t>
      </w:r>
    </w:p>
    <w:p>
      <w:pPr>
        <w:pStyle w:val="ListBullet"/>
      </w:pPr>
      <w:r>
        <w:t>Uses compliance structures for producers/importers.</w:t>
      </w:r>
    </w:p>
    <w:p>
      <w:pPr>
        <w:pStyle w:val="ListBullet"/>
      </w:pPr>
      <w:r>
        <w:t>Requires reporting related to recovered electronic equipment.</w:t>
      </w:r>
    </w:p>
    <w:p>
      <w:pPr>
        <w:pStyle w:val="ListBullet"/>
      </w:pPr>
      <w:r>
        <w:t>Producers have information obligations toward consumers.</w:t>
      </w:r>
    </w:p>
    <w:p>
      <w:pPr>
        <w:pStyle w:val="ListBullet"/>
      </w:pPr>
      <w:r>
        <w:t>Consumers should be informed about authorized collection locations.</w:t>
      </w:r>
    </w:p>
    <w:p>
      <w:r>
        <w:t>Advantage: It has a specific legal framework dedicated to e-waste, rather than relying only on general waste legislation.</w:t>
      </w:r>
    </w:p>
    <w:p>
      <w:r>
        <w:t>Limitation: The regulation dates back to 2010, so implementation and modernization remain important issues.</w:t>
      </w:r>
    </w:p>
    <w:p>
      <w:pPr>
        <w:pStyle w:val="Heading1"/>
      </w:pPr>
      <w:r>
        <w:t>6. Panama</w:t>
      </w:r>
    </w:p>
    <w:p>
      <w:r>
        <w:t>Panama is different from Costa Rica. Panama does not currently have a specific legislative instrument dedicated exclusively to e-waste. Instead, e-waste is handled within its broader hazardous-waste and environmental framework.</w:t>
      </w:r>
    </w:p>
    <w:p>
      <w:r>
        <w:t>Relevant instruments include Law 33 of 2018, which establishes a Zero Waste policy, the National Plan for Comprehensive Waste Management 2017–2027, and other regulations dealing with hazardous waste and environmental and health risks.</w:t>
      </w:r>
    </w:p>
    <w:p>
      <w:pPr>
        <w:pStyle w:val="Heading2"/>
      </w:pPr>
      <w:r>
        <w:t>Main Features</w:t>
      </w:r>
    </w:p>
    <w:p>
      <w:pPr>
        <w:pStyle w:val="ListBullet"/>
      </w:pPr>
      <w:r>
        <w:t>No dedicated e-waste law.</w:t>
      </w:r>
    </w:p>
    <w:p>
      <w:pPr>
        <w:pStyle w:val="ListBullet"/>
      </w:pPr>
      <w:r>
        <w:t>E-waste is handled under broader waste and hazardous-waste frameworks.</w:t>
      </w:r>
    </w:p>
    <w:p>
      <w:pPr>
        <w:pStyle w:val="ListBullet"/>
      </w:pPr>
      <w:r>
        <w:t>Zero Waste policy supports better overall waste management.</w:t>
      </w:r>
    </w:p>
    <w:p>
      <w:pPr>
        <w:pStyle w:val="ListBullet"/>
      </w:pPr>
      <w:r>
        <w:t>National waste-management planning exists.</w:t>
      </w:r>
    </w:p>
    <w:p>
      <w:r>
        <w:t>Advantage: E-waste is incorporated into a broader environmental and waste-management system.</w:t>
      </w:r>
    </w:p>
    <w:p>
      <w:r>
        <w:t>Limitation: The absence of a dedicated e-waste legislative instrument can make specific responsibilities, collection targets and producer obligations less clearly defined.</w:t>
      </w:r>
    </w:p>
    <w:p>
      <w:pPr>
        <w:pStyle w:val="Heading1"/>
      </w:pPr>
      <w:r>
        <w:t>7. Comparative Table</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sz w:val="16"/>
              </w:rPr>
              <w:t>Parameter</w:t>
            </w:r>
          </w:p>
        </w:tc>
        <w:tc>
          <w:tcPr>
            <w:tcW w:type="dxa" w:w="1680"/>
          </w:tcPr>
          <w:p>
            <w:r>
              <w:rPr>
                <w:b/>
                <w:sz w:val="16"/>
              </w:rPr>
              <w:t>Canada</w:t>
            </w:r>
          </w:p>
        </w:tc>
        <w:tc>
          <w:tcPr>
            <w:tcW w:type="dxa" w:w="1680"/>
          </w:tcPr>
          <w:p>
            <w:r>
              <w:rPr>
                <w:b/>
                <w:sz w:val="16"/>
              </w:rPr>
              <w:t>USA</w:t>
            </w:r>
          </w:p>
        </w:tc>
        <w:tc>
          <w:tcPr>
            <w:tcW w:type="dxa" w:w="1680"/>
          </w:tcPr>
          <w:p>
            <w:r>
              <w:rPr>
                <w:b/>
                <w:sz w:val="16"/>
              </w:rPr>
              <w:t>Mexico</w:t>
            </w:r>
          </w:p>
        </w:tc>
        <w:tc>
          <w:tcPr>
            <w:tcW w:type="dxa" w:w="1680"/>
          </w:tcPr>
          <w:p>
            <w:r>
              <w:rPr>
                <w:b/>
                <w:sz w:val="16"/>
              </w:rPr>
              <w:t>Costa Rica</w:t>
            </w:r>
          </w:p>
        </w:tc>
        <w:tc>
          <w:tcPr>
            <w:tcW w:type="dxa" w:w="1680"/>
          </w:tcPr>
          <w:p>
            <w:r>
              <w:rPr>
                <w:b/>
                <w:sz w:val="16"/>
              </w:rPr>
              <w:t>Panama</w:t>
            </w:r>
          </w:p>
        </w:tc>
      </w:tr>
      <w:tr>
        <w:tc>
          <w:tcPr>
            <w:tcW w:type="dxa" w:w="1680"/>
            <w:vAlign w:val="center"/>
          </w:tcPr>
          <w:p>
            <w:r>
              <w:rPr>
                <w:sz w:val="15"/>
              </w:rPr>
              <w:t>Main approach</w:t>
            </w:r>
          </w:p>
        </w:tc>
        <w:tc>
          <w:tcPr>
            <w:tcW w:type="dxa" w:w="1680"/>
            <w:vAlign w:val="center"/>
          </w:tcPr>
          <w:p>
            <w:r>
              <w:rPr>
                <w:sz w:val="15"/>
              </w:rPr>
              <w:t>EPR + provincial programs</w:t>
            </w:r>
          </w:p>
        </w:tc>
        <w:tc>
          <w:tcPr>
            <w:tcW w:type="dxa" w:w="1680"/>
            <w:vAlign w:val="center"/>
          </w:tcPr>
          <w:p>
            <w:r>
              <w:rPr>
                <w:sz w:val="15"/>
              </w:rPr>
              <w:t>State-based</w:t>
            </w:r>
          </w:p>
        </w:tc>
        <w:tc>
          <w:tcPr>
            <w:tcW w:type="dxa" w:w="1680"/>
            <w:vAlign w:val="center"/>
          </w:tcPr>
          <w:p>
            <w:r>
              <w:rPr>
                <w:sz w:val="15"/>
              </w:rPr>
              <w:t>National management-plan framework</w:t>
            </w:r>
          </w:p>
        </w:tc>
        <w:tc>
          <w:tcPr>
            <w:tcW w:type="dxa" w:w="1680"/>
            <w:vAlign w:val="center"/>
          </w:tcPr>
          <w:p>
            <w:r>
              <w:rPr>
                <w:sz w:val="15"/>
              </w:rPr>
              <w:t>Dedicated e-waste regulation</w:t>
            </w:r>
          </w:p>
        </w:tc>
        <w:tc>
          <w:tcPr>
            <w:tcW w:type="dxa" w:w="1680"/>
            <w:vAlign w:val="center"/>
          </w:tcPr>
          <w:p>
            <w:r>
              <w:rPr>
                <w:sz w:val="15"/>
              </w:rPr>
              <w:t>General waste/hazardous-waste framework</w:t>
            </w:r>
          </w:p>
        </w:tc>
      </w:tr>
      <w:tr>
        <w:tc>
          <w:tcPr>
            <w:tcW w:type="dxa" w:w="1680"/>
            <w:vAlign w:val="center"/>
          </w:tcPr>
          <w:p>
            <w:r>
              <w:rPr>
                <w:sz w:val="15"/>
              </w:rPr>
              <w:t>Dedicated national e-waste law</w:t>
            </w:r>
          </w:p>
        </w:tc>
        <w:tc>
          <w:tcPr>
            <w:tcW w:type="dxa" w:w="1680"/>
            <w:vAlign w:val="center"/>
          </w:tcPr>
          <w:p>
            <w:r>
              <w:rPr>
                <w:sz w:val="15"/>
              </w:rPr>
              <w:t>No single national law</w:t>
            </w:r>
          </w:p>
        </w:tc>
        <w:tc>
          <w:tcPr>
            <w:tcW w:type="dxa" w:w="1680"/>
            <w:vAlign w:val="center"/>
          </w:tcPr>
          <w:p>
            <w:r>
              <w:rPr>
                <w:sz w:val="15"/>
              </w:rPr>
              <w:t>No single comprehensive law</w:t>
            </w:r>
          </w:p>
        </w:tc>
        <w:tc>
          <w:tcPr>
            <w:tcW w:type="dxa" w:w="1680"/>
            <w:vAlign w:val="center"/>
          </w:tcPr>
          <w:p>
            <w:r>
              <w:rPr>
                <w:sz w:val="15"/>
              </w:rPr>
              <w:t>No standalone e-waste act</w:t>
            </w:r>
          </w:p>
        </w:tc>
        <w:tc>
          <w:tcPr>
            <w:tcW w:type="dxa" w:w="1680"/>
            <w:vAlign w:val="center"/>
          </w:tcPr>
          <w:p>
            <w:r>
              <w:rPr>
                <w:sz w:val="15"/>
              </w:rPr>
              <w:t>Yes</w:t>
            </w:r>
          </w:p>
        </w:tc>
        <w:tc>
          <w:tcPr>
            <w:tcW w:type="dxa" w:w="1680"/>
            <w:vAlign w:val="center"/>
          </w:tcPr>
          <w:p>
            <w:r>
              <w:rPr>
                <w:sz w:val="15"/>
              </w:rPr>
              <w:t>No</w:t>
            </w:r>
          </w:p>
        </w:tc>
      </w:tr>
      <w:tr>
        <w:tc>
          <w:tcPr>
            <w:tcW w:type="dxa" w:w="1680"/>
            <w:vAlign w:val="center"/>
          </w:tcPr>
          <w:p>
            <w:r>
              <w:rPr>
                <w:sz w:val="15"/>
              </w:rPr>
              <w:t>Main regulatory level</w:t>
            </w:r>
          </w:p>
        </w:tc>
        <w:tc>
          <w:tcPr>
            <w:tcW w:type="dxa" w:w="1680"/>
            <w:vAlign w:val="center"/>
          </w:tcPr>
          <w:p>
            <w:r>
              <w:rPr>
                <w:sz w:val="15"/>
              </w:rPr>
              <w:t>Provincial/territorial</w:t>
            </w:r>
          </w:p>
        </w:tc>
        <w:tc>
          <w:tcPr>
            <w:tcW w:type="dxa" w:w="1680"/>
            <w:vAlign w:val="center"/>
          </w:tcPr>
          <w:p>
            <w:r>
              <w:rPr>
                <w:sz w:val="15"/>
              </w:rPr>
              <w:t>Federal + state</w:t>
            </w:r>
          </w:p>
        </w:tc>
        <w:tc>
          <w:tcPr>
            <w:tcW w:type="dxa" w:w="1680"/>
            <w:vAlign w:val="center"/>
          </w:tcPr>
          <w:p>
            <w:r>
              <w:rPr>
                <w:sz w:val="15"/>
              </w:rPr>
              <w:t>National + local</w:t>
            </w:r>
          </w:p>
        </w:tc>
        <w:tc>
          <w:tcPr>
            <w:tcW w:type="dxa" w:w="1680"/>
            <w:vAlign w:val="center"/>
          </w:tcPr>
          <w:p>
            <w:r>
              <w:rPr>
                <w:sz w:val="15"/>
              </w:rPr>
              <w:t>National</w:t>
            </w:r>
          </w:p>
        </w:tc>
        <w:tc>
          <w:tcPr>
            <w:tcW w:type="dxa" w:w="1680"/>
            <w:vAlign w:val="center"/>
          </w:tcPr>
          <w:p>
            <w:r>
              <w:rPr>
                <w:sz w:val="15"/>
              </w:rPr>
              <w:t>National</w:t>
            </w:r>
          </w:p>
        </w:tc>
      </w:tr>
      <w:tr>
        <w:tc>
          <w:tcPr>
            <w:tcW w:type="dxa" w:w="1680"/>
            <w:vAlign w:val="center"/>
          </w:tcPr>
          <w:p>
            <w:r>
              <w:rPr>
                <w:sz w:val="15"/>
              </w:rPr>
              <w:t>EPR</w:t>
            </w:r>
          </w:p>
        </w:tc>
        <w:tc>
          <w:tcPr>
            <w:tcW w:type="dxa" w:w="1680"/>
            <w:vAlign w:val="center"/>
          </w:tcPr>
          <w:p>
            <w:r>
              <w:rPr>
                <w:sz w:val="15"/>
              </w:rPr>
              <w:t>Strong</w:t>
            </w:r>
          </w:p>
        </w:tc>
        <w:tc>
          <w:tcPr>
            <w:tcW w:type="dxa" w:w="1680"/>
            <w:vAlign w:val="center"/>
          </w:tcPr>
          <w:p>
            <w:r>
              <w:rPr>
                <w:sz w:val="15"/>
              </w:rPr>
              <w:t>State-dependent</w:t>
            </w:r>
          </w:p>
        </w:tc>
        <w:tc>
          <w:tcPr>
            <w:tcW w:type="dxa" w:w="1680"/>
            <w:vAlign w:val="center"/>
          </w:tcPr>
          <w:p>
            <w:r>
              <w:rPr>
                <w:sz w:val="15"/>
              </w:rPr>
              <w:t>Through management framework</w:t>
            </w:r>
          </w:p>
        </w:tc>
        <w:tc>
          <w:tcPr>
            <w:tcW w:type="dxa" w:w="1680"/>
            <w:vAlign w:val="center"/>
          </w:tcPr>
          <w:p>
            <w:r>
              <w:rPr>
                <w:sz w:val="15"/>
              </w:rPr>
              <w:t>Yes</w:t>
            </w:r>
          </w:p>
        </w:tc>
        <w:tc>
          <w:tcPr>
            <w:tcW w:type="dxa" w:w="1680"/>
            <w:vAlign w:val="center"/>
          </w:tcPr>
          <w:p>
            <w:r>
              <w:rPr>
                <w:sz w:val="15"/>
              </w:rPr>
              <w:t>Limited</w:t>
            </w:r>
          </w:p>
        </w:tc>
      </w:tr>
      <w:tr>
        <w:tc>
          <w:tcPr>
            <w:tcW w:type="dxa" w:w="1680"/>
            <w:vAlign w:val="center"/>
          </w:tcPr>
          <w:p>
            <w:r>
              <w:rPr>
                <w:sz w:val="15"/>
              </w:rPr>
              <w:t>Management plans</w:t>
            </w:r>
          </w:p>
        </w:tc>
        <w:tc>
          <w:tcPr>
            <w:tcW w:type="dxa" w:w="1680"/>
            <w:vAlign w:val="center"/>
          </w:tcPr>
          <w:p>
            <w:r>
              <w:rPr>
                <w:sz w:val="15"/>
              </w:rPr>
              <w:t>Program-dependent</w:t>
            </w:r>
          </w:p>
        </w:tc>
        <w:tc>
          <w:tcPr>
            <w:tcW w:type="dxa" w:w="1680"/>
            <w:vAlign w:val="center"/>
          </w:tcPr>
          <w:p>
            <w:r>
              <w:rPr>
                <w:sz w:val="15"/>
              </w:rPr>
              <w:t>State-dependent</w:t>
            </w:r>
          </w:p>
        </w:tc>
        <w:tc>
          <w:tcPr>
            <w:tcW w:type="dxa" w:w="1680"/>
            <w:vAlign w:val="center"/>
          </w:tcPr>
          <w:p>
            <w:r>
              <w:rPr>
                <w:sz w:val="15"/>
              </w:rPr>
              <w:t>Important feature</w:t>
            </w:r>
          </w:p>
        </w:tc>
        <w:tc>
          <w:tcPr>
            <w:tcW w:type="dxa" w:w="1680"/>
            <w:vAlign w:val="center"/>
          </w:tcPr>
          <w:p>
            <w:r>
              <w:rPr>
                <w:sz w:val="15"/>
              </w:rPr>
              <w:t>Compliance plans</w:t>
            </w:r>
          </w:p>
        </w:tc>
        <w:tc>
          <w:tcPr>
            <w:tcW w:type="dxa" w:w="1680"/>
            <w:vAlign w:val="center"/>
          </w:tcPr>
          <w:p>
            <w:r>
              <w:rPr>
                <w:sz w:val="15"/>
              </w:rPr>
              <w:t>General waste planning</w:t>
            </w:r>
          </w:p>
        </w:tc>
      </w:tr>
      <w:tr>
        <w:tc>
          <w:tcPr>
            <w:tcW w:type="dxa" w:w="1680"/>
            <w:vAlign w:val="center"/>
          </w:tcPr>
          <w:p>
            <w:r>
              <w:rPr>
                <w:sz w:val="15"/>
              </w:rPr>
              <w:t>Collection system</w:t>
            </w:r>
          </w:p>
        </w:tc>
        <w:tc>
          <w:tcPr>
            <w:tcW w:type="dxa" w:w="1680"/>
            <w:vAlign w:val="center"/>
          </w:tcPr>
          <w:p>
            <w:r>
              <w:rPr>
                <w:sz w:val="15"/>
              </w:rPr>
              <w:t>Province-dependent</w:t>
            </w:r>
          </w:p>
        </w:tc>
        <w:tc>
          <w:tcPr>
            <w:tcW w:type="dxa" w:w="1680"/>
            <w:vAlign w:val="center"/>
          </w:tcPr>
          <w:p>
            <w:r>
              <w:rPr>
                <w:sz w:val="15"/>
              </w:rPr>
              <w:t>State-dependent</w:t>
            </w:r>
          </w:p>
        </w:tc>
        <w:tc>
          <w:tcPr>
            <w:tcW w:type="dxa" w:w="1680"/>
            <w:vAlign w:val="center"/>
          </w:tcPr>
          <w:p>
            <w:r>
              <w:rPr>
                <w:sz w:val="15"/>
              </w:rPr>
              <w:t>Management-plan based</w:t>
            </w:r>
          </w:p>
        </w:tc>
        <w:tc>
          <w:tcPr>
            <w:tcW w:type="dxa" w:w="1680"/>
            <w:vAlign w:val="center"/>
          </w:tcPr>
          <w:p>
            <w:r>
              <w:rPr>
                <w:sz w:val="15"/>
              </w:rPr>
              <w:t>Authorized collection framework</w:t>
            </w:r>
          </w:p>
        </w:tc>
        <w:tc>
          <w:tcPr>
            <w:tcW w:type="dxa" w:w="1680"/>
            <w:vAlign w:val="center"/>
          </w:tcPr>
          <w:p>
            <w:r>
              <w:rPr>
                <w:sz w:val="15"/>
              </w:rPr>
              <w:t>General waste framework</w:t>
            </w:r>
          </w:p>
        </w:tc>
      </w:tr>
      <w:tr>
        <w:tc>
          <w:tcPr>
            <w:tcW w:type="dxa" w:w="1680"/>
            <w:vAlign w:val="center"/>
          </w:tcPr>
          <w:p>
            <w:r>
              <w:rPr>
                <w:sz w:val="15"/>
              </w:rPr>
              <w:t>Producer responsibility</w:t>
            </w:r>
          </w:p>
        </w:tc>
        <w:tc>
          <w:tcPr>
            <w:tcW w:type="dxa" w:w="1680"/>
            <w:vAlign w:val="center"/>
          </w:tcPr>
          <w:p>
            <w:r>
              <w:rPr>
                <w:sz w:val="15"/>
              </w:rPr>
              <w:t>Significant</w:t>
            </w:r>
          </w:p>
        </w:tc>
        <w:tc>
          <w:tcPr>
            <w:tcW w:type="dxa" w:w="1680"/>
            <w:vAlign w:val="center"/>
          </w:tcPr>
          <w:p>
            <w:r>
              <w:rPr>
                <w:sz w:val="15"/>
              </w:rPr>
              <w:t>Depends on state</w:t>
            </w:r>
          </w:p>
        </w:tc>
        <w:tc>
          <w:tcPr>
            <w:tcW w:type="dxa" w:w="1680"/>
            <w:vAlign w:val="center"/>
          </w:tcPr>
          <w:p>
            <w:r>
              <w:rPr>
                <w:sz w:val="15"/>
              </w:rPr>
              <w:t>Present through relevant frameworks</w:t>
            </w:r>
          </w:p>
        </w:tc>
        <w:tc>
          <w:tcPr>
            <w:tcW w:type="dxa" w:w="1680"/>
            <w:vAlign w:val="center"/>
          </w:tcPr>
          <w:p>
            <w:r>
              <w:rPr>
                <w:sz w:val="15"/>
              </w:rPr>
              <w:t>Clearly incorporated</w:t>
            </w:r>
          </w:p>
        </w:tc>
        <w:tc>
          <w:tcPr>
            <w:tcW w:type="dxa" w:w="1680"/>
            <w:vAlign w:val="center"/>
          </w:tcPr>
          <w:p>
            <w:r>
              <w:rPr>
                <w:sz w:val="15"/>
              </w:rPr>
              <w:t>Less specific</w:t>
            </w:r>
          </w:p>
        </w:tc>
      </w:tr>
      <w:tr>
        <w:tc>
          <w:tcPr>
            <w:tcW w:type="dxa" w:w="1680"/>
            <w:vAlign w:val="center"/>
          </w:tcPr>
          <w:p>
            <w:r>
              <w:rPr>
                <w:sz w:val="15"/>
              </w:rPr>
              <w:t>Specific e-waste regulation</w:t>
            </w:r>
          </w:p>
        </w:tc>
        <w:tc>
          <w:tcPr>
            <w:tcW w:type="dxa" w:w="1680"/>
            <w:vAlign w:val="center"/>
          </w:tcPr>
          <w:p>
            <w:r>
              <w:rPr>
                <w:sz w:val="15"/>
              </w:rPr>
              <w:t>Multiple provincial regulations</w:t>
            </w:r>
          </w:p>
        </w:tc>
        <w:tc>
          <w:tcPr>
            <w:tcW w:type="dxa" w:w="1680"/>
            <w:vAlign w:val="center"/>
          </w:tcPr>
          <w:p>
            <w:r>
              <w:rPr>
                <w:sz w:val="15"/>
              </w:rPr>
              <w:t>State regulations</w:t>
            </w:r>
          </w:p>
        </w:tc>
        <w:tc>
          <w:tcPr>
            <w:tcW w:type="dxa" w:w="1680"/>
            <w:vAlign w:val="center"/>
          </w:tcPr>
          <w:p>
            <w:r>
              <w:rPr>
                <w:sz w:val="15"/>
              </w:rPr>
              <w:t>E-waste identified under national framework</w:t>
            </w:r>
          </w:p>
        </w:tc>
        <w:tc>
          <w:tcPr>
            <w:tcW w:type="dxa" w:w="1680"/>
            <w:vAlign w:val="center"/>
          </w:tcPr>
          <w:p>
            <w:r>
              <w:rPr>
                <w:sz w:val="15"/>
              </w:rPr>
              <w:t>Dedicated regulation</w:t>
            </w:r>
          </w:p>
        </w:tc>
        <w:tc>
          <w:tcPr>
            <w:tcW w:type="dxa" w:w="1680"/>
            <w:vAlign w:val="center"/>
          </w:tcPr>
          <w:p>
            <w:r>
              <w:rPr>
                <w:sz w:val="15"/>
              </w:rPr>
              <w:t>No</w:t>
            </w:r>
          </w:p>
        </w:tc>
      </w:tr>
      <w:tr>
        <w:tc>
          <w:tcPr>
            <w:tcW w:type="dxa" w:w="1680"/>
            <w:vAlign w:val="center"/>
          </w:tcPr>
          <w:p>
            <w:r>
              <w:rPr>
                <w:sz w:val="15"/>
              </w:rPr>
              <w:t>Major strength</w:t>
            </w:r>
          </w:p>
        </w:tc>
        <w:tc>
          <w:tcPr>
            <w:tcW w:type="dxa" w:w="1680"/>
            <w:vAlign w:val="center"/>
          </w:tcPr>
          <w:p>
            <w:r>
              <w:rPr>
                <w:sz w:val="15"/>
              </w:rPr>
              <w:t>Strong EPR model</w:t>
            </w:r>
          </w:p>
        </w:tc>
        <w:tc>
          <w:tcPr>
            <w:tcW w:type="dxa" w:w="1680"/>
            <w:vAlign w:val="center"/>
          </w:tcPr>
          <w:p>
            <w:r>
              <w:rPr>
                <w:sz w:val="15"/>
              </w:rPr>
              <w:t>State innovation</w:t>
            </w:r>
          </w:p>
        </w:tc>
        <w:tc>
          <w:tcPr>
            <w:tcW w:type="dxa" w:w="1680"/>
            <w:vAlign w:val="center"/>
          </w:tcPr>
          <w:p>
            <w:r>
              <w:rPr>
                <w:sz w:val="15"/>
              </w:rPr>
              <w:t>National classification &amp; plans</w:t>
            </w:r>
          </w:p>
        </w:tc>
        <w:tc>
          <w:tcPr>
            <w:tcW w:type="dxa" w:w="1680"/>
            <w:vAlign w:val="center"/>
          </w:tcPr>
          <w:p>
            <w:r>
              <w:rPr>
                <w:sz w:val="15"/>
              </w:rPr>
              <w:t>Dedicated e-waste framework</w:t>
            </w:r>
          </w:p>
        </w:tc>
        <w:tc>
          <w:tcPr>
            <w:tcW w:type="dxa" w:w="1680"/>
            <w:vAlign w:val="center"/>
          </w:tcPr>
          <w:p>
            <w:r>
              <w:rPr>
                <w:sz w:val="15"/>
              </w:rPr>
              <w:t>Integrated waste policy</w:t>
            </w:r>
          </w:p>
        </w:tc>
      </w:tr>
      <w:tr>
        <w:tc>
          <w:tcPr>
            <w:tcW w:type="dxa" w:w="1680"/>
            <w:vAlign w:val="center"/>
          </w:tcPr>
          <w:p>
            <w:r>
              <w:rPr>
                <w:sz w:val="15"/>
              </w:rPr>
              <w:t>Major weakness</w:t>
            </w:r>
          </w:p>
        </w:tc>
        <w:tc>
          <w:tcPr>
            <w:tcW w:type="dxa" w:w="1680"/>
            <w:vAlign w:val="center"/>
          </w:tcPr>
          <w:p>
            <w:r>
              <w:rPr>
                <w:sz w:val="15"/>
              </w:rPr>
              <w:t>Provincial variation</w:t>
            </w:r>
          </w:p>
        </w:tc>
        <w:tc>
          <w:tcPr>
            <w:tcW w:type="dxa" w:w="1680"/>
            <w:vAlign w:val="center"/>
          </w:tcPr>
          <w:p>
            <w:r>
              <w:rPr>
                <w:sz w:val="15"/>
              </w:rPr>
              <w:t>Highly fragmented</w:t>
            </w:r>
          </w:p>
        </w:tc>
        <w:tc>
          <w:tcPr>
            <w:tcW w:type="dxa" w:w="1680"/>
            <w:vAlign w:val="center"/>
          </w:tcPr>
          <w:p>
            <w:r>
              <w:rPr>
                <w:sz w:val="15"/>
              </w:rPr>
              <w:t>Implementation variation</w:t>
            </w:r>
          </w:p>
        </w:tc>
        <w:tc>
          <w:tcPr>
            <w:tcW w:type="dxa" w:w="1680"/>
            <w:vAlign w:val="center"/>
          </w:tcPr>
          <w:p>
            <w:r>
              <w:rPr>
                <w:sz w:val="15"/>
              </w:rPr>
              <w:t>Older framework</w:t>
            </w:r>
          </w:p>
        </w:tc>
        <w:tc>
          <w:tcPr>
            <w:tcW w:type="dxa" w:w="1680"/>
            <w:vAlign w:val="center"/>
          </w:tcPr>
          <w:p>
            <w:r>
              <w:rPr>
                <w:sz w:val="15"/>
              </w:rPr>
              <w:t>No dedicated e-waste law</w:t>
            </w:r>
          </w:p>
        </w:tc>
      </w:tr>
    </w:tbl>
    <w:p>
      <w:pPr>
        <w:pStyle w:val="Heading1"/>
      </w:pPr>
      <w:r>
        <w:t>8. Overall Comparison</w:t>
      </w:r>
    </w:p>
    <w:p>
      <w:r>
        <w:t>The five countries can broadly be divided into three regulatory models.</w:t>
      </w:r>
    </w:p>
    <w:p>
      <w:pPr>
        <w:pStyle w:val="Heading2"/>
      </w:pPr>
      <w:r>
        <w:t>Model 1 – Producer Responsibility</w:t>
      </w:r>
    </w:p>
    <w:p>
      <w:r>
        <w:t>Canada and Costa Rica place significant emphasis on producers/importers participating in the management of electronic products after their useful life. Canada's system is mainly implemented through provincial and territorial EPR programs, while Costa Rica has a dedicated national e-waste framework.</w:t>
      </w:r>
    </w:p>
    <w:p>
      <w:pPr>
        <w:pStyle w:val="Heading2"/>
      </w:pPr>
      <w:r>
        <w:t>Model 2 – Decentralized/State-based</w:t>
      </w:r>
    </w:p>
    <w:p>
      <w:r>
        <w:t>The United States is the clearest example of a decentralized model. Individual states create electronics-recycling laws, resulting in considerable variation across the country.</w:t>
      </w:r>
    </w:p>
    <w:p>
      <w:pPr>
        <w:pStyle w:val="Heading2"/>
      </w:pPr>
      <w:r>
        <w:t>Model 3 – National Waste-Management Framework</w:t>
      </w:r>
    </w:p>
    <w:p>
      <w:r>
        <w:t>Mexico and Panama rely more heavily on national waste-management frameworks. Mexico specifically identifies electronic equipment within its special-management-waste framework and uses management plans. Panama does not have a dedicated e-waste legislative instrument and primarily manages e-waste through broader waste and hazardous-waste regulations.</w:t>
      </w:r>
    </w:p>
    <w:p>
      <w:pPr>
        <w:pStyle w:val="Heading1"/>
      </w:pPr>
      <w:r>
        <w:t>9. Which Country Has the Strongest Framework?</w:t>
      </w:r>
    </w:p>
    <w:p>
      <w:r>
        <w:t>For this particular comparison, Costa Rica stands out for having the clearest dedicated e-waste regulation because it has a specific regulation for integrated electronic-waste management and defined producer information and reporting responsibilities.</w:t>
      </w:r>
    </w:p>
    <w:p>
      <w:r>
        <w:t>Canada is also strong, particularly because of its widespread EPR approach, although its system is fragmented across provinces and territories.</w:t>
      </w:r>
    </w:p>
    <w:p>
      <w:r>
        <w:t>The United States has a significant recycling system but is highly decentralized. Mexico has a structured national framework, particularly through its special-management-waste classification and management plans. Panama has the largest regulatory gap among these five because it lacks a dedicated e-waste legislative instrument and relies on broader waste and hazardous-waste rules.</w:t>
      </w:r>
    </w:p>
    <w:p>
      <w:pPr>
        <w:pStyle w:val="Heading1"/>
      </w:pPr>
      <w:r>
        <w:t>10. Conclusion</w:t>
      </w:r>
    </w:p>
    <w:p>
      <w:r>
        <w:t>E-waste management differs considerably across the five selected North American countries. Canada primarily follows a provincial and territorial EPR approach, while the United States relies heavily on state-level electronics recycling laws. Mexico uses a national special-management-waste framework and management plans. Costa Rica has established a dedicated regulation specifically for integrated electronic-waste management, whereas Panama manages e-waste mainly through broader waste and hazardous-waste regulations.</w:t>
      </w:r>
    </w:p>
    <w:p>
      <w:r>
        <w:t>The comparison shows that having a specific e-waste regulation provides clearer responsibilities, while EPR can increase producer involvement in collection and recycling. However, the effectiveness of any system ultimately depends not only on legislation but also on enforcement, collection infrastructure, public awareness, recycling capacity and participation by producers and consumers.</w:t>
      </w:r>
    </w:p>
    <w:p>
      <w:r>
        <w:t>Key finding: There is no single e-waste management model across North America; countries differ between EPR-based, decentralized state/provincial, dedicated national, and general waste-management approaches.</w:t>
      </w:r>
    </w:p>
    <w:p>
      <w:pPr>
        <w:pStyle w:val="Heading1"/>
      </w:pPr>
      <w:r>
        <w:t>11. References</w:t>
      </w:r>
    </w:p>
    <w:p>
      <w:pPr>
        <w:pStyle w:val="ListBullet"/>
      </w:pPr>
      <w:r>
        <w:t>Environment and Climate Change Canada – Inventory of Recycling Programs: https://www.canada.ca/en/environment-climate-change/services/managing-reducing-waste/overview-extended-producer-responsibility/inventory-recycling-programs.html</w:t>
      </w:r>
    </w:p>
    <w:p>
      <w:pPr>
        <w:pStyle w:val="ListBullet"/>
      </w:pPr>
      <w:r>
        <w:t>U.S. Environmental Protection Agency – Regulations for Electronics Stewardship: https://www.epa.gov/electronics-batteries-management/regulations-electronics-stewardship</w:t>
      </w:r>
    </w:p>
    <w:p>
      <w:pPr>
        <w:pStyle w:val="ListBullet"/>
      </w:pPr>
      <w:r>
        <w:t>SEMARNAT – Residuos de Manejo Especial: https://www.gob.mx/semarnat/acciones-y-programas/residuos-de-manejo-especial-rme</w:t>
      </w:r>
    </w:p>
    <w:p>
      <w:pPr>
        <w:pStyle w:val="ListBullet"/>
      </w:pPr>
      <w:r>
        <w:t>Mexico – NOM-161-SEMARNAT-2011: https://dof.gob.mx/normasOficiales.php?codp=5029&amp;view=si</w:t>
      </w:r>
    </w:p>
    <w:p>
      <w:pPr>
        <w:pStyle w:val="ListBullet"/>
      </w:pPr>
      <w:r>
        <w:t>Costa Rica – Decreto Ejecutivo No. 35933-S: https://pgrweb.go.cr/scij/Busqueda/Normativa/Normas/nrm_texto_completo.aspx?nValor1=1&amp;nValor2=67850&amp;nValor3=0&amp;param1=NRTC&amp;strTipM=TC</w:t>
      </w:r>
    </w:p>
    <w:p>
      <w:pPr>
        <w:pStyle w:val="ListBullet"/>
      </w:pPr>
      <w:r>
        <w:t>International Telecommunication Union – Regional E-waste Monitor for Latin America: https://www.itu.int/en/ITU-D/Environment/Documents/Publications/2022/REM_LATAM_2022_ENG_Final.pdf</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E-Waste Comparative Study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9E45BCADE012848BADD84F0F5519C36" ma:contentTypeVersion="13" ma:contentTypeDescription="Create a new document." ma:contentTypeScope="" ma:versionID="749d6923f222eb45ac0dc6063575a178">
  <xsd:schema xmlns:xsd="http://www.w3.org/2001/XMLSchema" xmlns:xs="http://www.w3.org/2001/XMLSchema" xmlns:p="http://schemas.microsoft.com/office/2006/metadata/properties" xmlns:ns2="c49d017b-ac22-4c0b-a7a4-c8b9eca6cd70" xmlns:ns3="e0d206d7-ee7c-42da-b133-6e7342787b39" targetNamespace="http://schemas.microsoft.com/office/2006/metadata/properties" ma:root="true" ma:fieldsID="e99e7a50f06ef0e0bf1d9a36c1212498" ns2:_="" ns3:_="">
    <xsd:import namespace="c49d017b-ac22-4c0b-a7a4-c8b9eca6cd70"/>
    <xsd:import namespace="e0d206d7-ee7c-42da-b133-6e7342787b3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Location"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9d017b-ac22-4c0b-a7a4-c8b9eca6cd7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0d206d7-ee7c-42da-b133-6e7342787b3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5d6c0a8-0dd6-40f9-b8c8-aca075772b73}" ma:internalName="TaxCatchAll" ma:showField="CatchAllData" ma:web="e0d206d7-ee7c-42da-b133-6e7342787b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49d017b-ac22-4c0b-a7a4-c8b9eca6cd70">
      <Terms xmlns="http://schemas.microsoft.com/office/infopath/2007/PartnerControls"/>
    </lcf76f155ced4ddcb4097134ff3c332f>
    <TaxCatchAll xmlns="e0d206d7-ee7c-42da-b133-6e7342787b39" xsi:nil="true"/>
    <ReferenceId xmlns="c49d017b-ac22-4c0b-a7a4-c8b9eca6cd70"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1C01A44-D1D8-4EC4-BA9F-A2B19579BE5D}"/>
</file>

<file path=customXml/itemProps3.xml><?xml version="1.0" encoding="utf-8"?>
<ds:datastoreItem xmlns:ds="http://schemas.openxmlformats.org/officeDocument/2006/customXml" ds:itemID="{3924B953-4D4F-4A03-91C9-AD49F152F16A}"/>
</file>

<file path=customXml/itemProps4.xml><?xml version="1.0" encoding="utf-8"?>
<ds:datastoreItem xmlns:ds="http://schemas.openxmlformats.org/officeDocument/2006/customXml" ds:itemID="{023BD2EC-DE1A-4528-9C08-C950F258A4E4}"/>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0x01010029E45BCADE012848BADD84F0F5519C36</vt:lpwstr>
  </property>
</Properties>
</file>