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Aptos Display" w:hAnsi="Aptos Display"/>
          <w:b/>
          <w:color w:val="17365D"/>
          <w:sz w:val="54"/>
        </w:rPr>
        <w:t>E-WASTE MANAGEMENT RULES</w:t>
      </w:r>
    </w:p>
    <w:p>
      <w:pPr>
        <w:spacing w:after="320"/>
        <w:jc w:val="center"/>
      </w:pPr>
      <w:r>
        <w:rPr>
          <w:rFonts w:ascii="Aptos Display" w:hAnsi="Aptos Display"/>
          <w:b/>
          <w:color w:val="2F75B5"/>
          <w:sz w:val="38"/>
        </w:rPr>
        <w:t>Company-wise Compliance Analysis</w:t>
      </w:r>
    </w:p>
    <w:tbl>
      <w:tblPr>
        <w:tblW w:type="auto" w:w="0"/>
        <w:jc w:val="center"/>
        <w:tblLook w:firstColumn="1" w:firstRow="1" w:lastColumn="0" w:lastRow="0" w:noHBand="0" w:noVBand="1" w:val="04A0"/>
      </w:tblPr>
      <w:tblGrid>
        <w:gridCol w:w="10224"/>
      </w:tblGrid>
      <w:tr>
        <w:tc>
          <w:tcPr>
            <w:tcW w:type="dxa" w:w="10224"/>
            <w:shd w:fill="2F75B5"/>
          </w:tcPr>
          <w:p/>
        </w:tc>
      </w:tr>
    </w:tbl>
    <w:p>
      <w:pPr>
        <w:spacing w:before="360"/>
        <w:jc w:val="center"/>
      </w:pPr>
      <w:r>
        <w:rPr>
          <w:b/>
          <w:color w:val="222222"/>
          <w:sz w:val="26"/>
        </w:rPr>
        <w:t>Selected Electronics Manufacturers</w:t>
      </w:r>
    </w:p>
    <w:p>
      <w:pPr>
        <w:spacing w:after="40"/>
        <w:jc w:val="center"/>
      </w:pPr>
      <w:r>
        <w:rPr>
          <w:color w:val="17365D"/>
          <w:sz w:val="22"/>
        </w:rPr>
        <w:t>Dixon Technologies</w:t>
      </w:r>
    </w:p>
    <w:p>
      <w:pPr>
        <w:spacing w:after="40"/>
        <w:jc w:val="center"/>
      </w:pPr>
      <w:r>
        <w:rPr>
          <w:color w:val="17365D"/>
          <w:sz w:val="22"/>
        </w:rPr>
        <w:t>Kaynes Technology</w:t>
      </w:r>
    </w:p>
    <w:p>
      <w:pPr>
        <w:spacing w:after="40"/>
        <w:jc w:val="center"/>
      </w:pPr>
      <w:r>
        <w:rPr>
          <w:color w:val="17365D"/>
          <w:sz w:val="22"/>
        </w:rPr>
        <w:t>Syrma SGS</w:t>
      </w:r>
    </w:p>
    <w:p>
      <w:pPr>
        <w:spacing w:after="40"/>
        <w:jc w:val="center"/>
      </w:pPr>
      <w:r>
        <w:rPr>
          <w:color w:val="17365D"/>
          <w:sz w:val="22"/>
        </w:rPr>
        <w:t>Foxconn</w:t>
      </w:r>
    </w:p>
    <w:p>
      <w:pPr>
        <w:spacing w:after="40"/>
        <w:jc w:val="center"/>
      </w:pPr>
      <w:r>
        <w:rPr>
          <w:color w:val="17365D"/>
          <w:sz w:val="22"/>
        </w:rPr>
        <w:t>Centum Electronics</w:t>
      </w:r>
    </w:p>
    <w:p>
      <w:pPr>
        <w:spacing w:before="440"/>
        <w:jc w:val="center"/>
      </w:pPr>
      <w:r>
        <w:rPr>
          <w:i/>
          <w:color w:val="666666"/>
          <w:sz w:val="18"/>
        </w:rPr>
        <w:t>Basis: E-Waste (Management) Rules, 2022 and CPCB FAQ</w:t>
      </w:r>
    </w:p>
    <w:p>
      <w:r>
        <w:br w:type="page"/>
      </w:r>
    </w:p>
    <w:p>
      <w:pPr>
        <w:spacing w:before="200" w:after="80"/>
      </w:pPr>
      <w:r>
        <w:rPr>
          <w:rFonts w:ascii="Aptos Display" w:hAnsi="Aptos Display"/>
          <w:b/>
          <w:color w:val="17365D"/>
          <w:sz w:val="32"/>
        </w:rPr>
        <w:t>1. Basis of Analysis</w:t>
      </w:r>
    </w:p>
    <w:p>
      <w:r>
        <w:t>The analysis uses the Central Pollution Control Board (CPCB) FAQ on the E-Waste (Management) Rules, 2022 and subsequent amendments as the regulatory basis. The document states that the rules apply to manufacturers, producers, recyclers, refurbishers and dismantlers involved with electrical and electronic equipment covered under Schedule I.</w:t>
      </w:r>
    </w:p>
    <w:tbl>
      <w:tblPr>
        <w:tblW w:type="auto" w:w="0"/>
        <w:jc w:val="center"/>
        <w:tblLook w:firstColumn="1" w:firstRow="1" w:lastColumn="0" w:lastRow="0" w:noHBand="0" w:noVBand="1" w:val="04A0"/>
      </w:tblPr>
      <w:tblGrid>
        <w:gridCol w:w="10224"/>
      </w:tblGrid>
      <w:tr>
        <w:tc>
          <w:tcPr>
            <w:tcW w:type="dxa" w:w="10224"/>
            <w:shd w:fill="FFF2CC"/>
            <w:tcBorders>
              <w:top w:val="single" w:sz="8" w:color="E6D18A"/>
              <w:left w:val="single" w:sz="8" w:color="E6D18A"/>
              <w:bottom w:val="single" w:sz="8" w:color="E6D18A"/>
              <w:right w:val="single" w:sz="8" w:color="E6D18A"/>
              <w:insideH w:val="single" w:sz="8" w:color="E6D18A"/>
              <w:insideV w:val="single" w:sz="8" w:color="E6D18A"/>
            </w:tcBorders>
          </w:tcPr>
          <w:p>
            <w:pPr>
              <w:spacing w:after="0"/>
            </w:pPr>
            <w:r>
              <w:rPr>
                <w:rFonts w:ascii="Aptos" w:hAnsi="Aptos"/>
                <w:color w:val="222222"/>
                <w:sz w:val="18"/>
              </w:rPr>
              <w:t>Key requirements considered: EPR registration and obligations, recycling through registered recyclers, environmentally sound e-waste management, RoHS/hazardous-substance control, returns/audits, and applicable registration requirements.</w:t>
            </w:r>
          </w:p>
        </w:tc>
      </w:tr>
    </w:tbl>
    <w:p>
      <w:pPr>
        <w:spacing w:before="140" w:after="80"/>
      </w:pPr>
      <w:r>
        <w:rPr>
          <w:rFonts w:ascii="Aptos Display" w:hAnsi="Aptos Display"/>
          <w:b/>
          <w:color w:val="2F75B5"/>
          <w:sz w:val="24"/>
        </w:rPr>
        <w:t>2. Key Rules Used for Comparison</w:t>
      </w:r>
    </w:p>
    <w:p>
      <w:pPr>
        <w:spacing w:after="40"/>
        <w:ind w:left="259" w:hanging="202"/>
      </w:pPr>
      <w:r>
        <w:rPr>
          <w:b/>
          <w:color w:val="2F75B5"/>
        </w:rPr>
        <w:t xml:space="preserve">• </w:t>
      </w:r>
      <w:r>
        <w:rPr>
          <w:rFonts w:ascii="Aptos" w:hAnsi="Aptos"/>
          <w:color w:val="222222"/>
          <w:sz w:val="20"/>
        </w:rPr>
        <w:t>EPR &amp; recycling targets: Producers must meet prescribed EPR recycling obligations; the PDF gives phase-wise targets of 60%, 70% and 80% for the specified financial years.</w:t>
      </w:r>
    </w:p>
    <w:p>
      <w:pPr>
        <w:spacing w:after="40"/>
        <w:ind w:left="259" w:hanging="202"/>
      </w:pPr>
      <w:r>
        <w:rPr>
          <w:b/>
          <w:color w:val="2F75B5"/>
        </w:rPr>
        <w:t xml:space="preserve">• </w:t>
      </w:r>
      <w:r>
        <w:rPr>
          <w:rFonts w:ascii="Aptos" w:hAnsi="Aptos"/>
          <w:color w:val="222222"/>
          <w:sz w:val="20"/>
        </w:rPr>
        <w:t>Registered recyclers: E-waste recycling for EPR purposes must be through recyclers registered on the E-Waste EPR Portal.</w:t>
      </w:r>
    </w:p>
    <w:p>
      <w:pPr>
        <w:spacing w:after="40"/>
        <w:ind w:left="259" w:hanging="202"/>
      </w:pPr>
      <w:r>
        <w:rPr>
          <w:b/>
          <w:color w:val="2F75B5"/>
        </w:rPr>
        <w:t xml:space="preserve">• </w:t>
      </w:r>
      <w:r>
        <w:rPr>
          <w:rFonts w:ascii="Aptos" w:hAnsi="Aptos"/>
          <w:color w:val="222222"/>
          <w:sz w:val="20"/>
        </w:rPr>
        <w:t>Producer registration: Producer registration is mandatory for entities covered by the definition of Producer and EEE listed in Schedule I.</w:t>
      </w:r>
    </w:p>
    <w:p>
      <w:pPr>
        <w:spacing w:after="40"/>
        <w:ind w:left="259" w:hanging="202"/>
      </w:pPr>
      <w:r>
        <w:rPr>
          <w:b/>
          <w:color w:val="2F75B5"/>
        </w:rPr>
        <w:t xml:space="preserve">• </w:t>
      </w:r>
      <w:r>
        <w:rPr>
          <w:rFonts w:ascii="Aptos" w:hAnsi="Aptos"/>
          <w:color w:val="222222"/>
          <w:sz w:val="20"/>
        </w:rPr>
        <w:t>Environmentally sound management: E-waste must be managed in a manner that protects health and the environment.</w:t>
      </w:r>
    </w:p>
    <w:p>
      <w:pPr>
        <w:spacing w:after="40"/>
        <w:ind w:left="259" w:hanging="202"/>
      </w:pPr>
      <w:r>
        <w:rPr>
          <w:b/>
          <w:color w:val="2F75B5"/>
        </w:rPr>
        <w:t xml:space="preserve">• </w:t>
      </w:r>
      <w:r>
        <w:rPr>
          <w:rFonts w:ascii="Aptos" w:hAnsi="Aptos"/>
          <w:color w:val="222222"/>
          <w:sz w:val="20"/>
        </w:rPr>
        <w:t>RoHS / hazardous substances: New covered EEE must comply with prescribed maximum concentration limits for substances such as lead, mercury, cadmium, hexavalent chromium and specified flame retardants.</w:t>
      </w:r>
    </w:p>
    <w:p>
      <w:pPr>
        <w:spacing w:after="40"/>
        <w:ind w:left="259" w:hanging="202"/>
      </w:pPr>
      <w:r>
        <w:rPr>
          <w:b/>
          <w:color w:val="2F75B5"/>
        </w:rPr>
        <w:t xml:space="preserve">• </w:t>
      </w:r>
      <w:r>
        <w:rPr>
          <w:rFonts w:ascii="Aptos" w:hAnsi="Aptos"/>
          <w:color w:val="222222"/>
          <w:sz w:val="20"/>
        </w:rPr>
        <w:t>Returns &amp; audit: The rules provide for quarterly and annual returns by producers and audit of stakeholders.</w:t>
      </w:r>
    </w:p>
    <w:p>
      <w:pPr>
        <w:spacing w:before="100"/>
      </w:pPr>
      <w:r>
        <w:rPr>
          <w:b/>
          <w:color w:val="17365D"/>
        </w:rPr>
        <w:t xml:space="preserve">Important interpretation: </w:t>
      </w:r>
      <w:r>
        <w:rPr>
          <w:color w:val="222222"/>
        </w:rPr>
        <w:t>“Not publicly verified” means sufficient public evidence was not available in the material reviewed. It should not automatically be treated as a confirmed legal violation.</w:t>
      </w:r>
    </w:p>
    <w:p>
      <w:pPr>
        <w:spacing w:before="200" w:after="80"/>
      </w:pPr>
      <w:r>
        <w:rPr>
          <w:rFonts w:ascii="Aptos Display" w:hAnsi="Aptos Display"/>
          <w:b/>
          <w:color w:val="17365D"/>
          <w:sz w:val="32"/>
        </w:rPr>
        <w:t>3. Overall Company-wise Summary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vAlign w:val="center"/>
          </w:tcPr>
          <w:p>
            <w:pPr>
              <w:jc w:val="left"/>
            </w:pPr>
            <w:r/>
            <w:r>
              <w:rPr>
                <w:rFonts w:ascii="Aptos" w:hAnsi="Aptos"/>
                <w:b/>
                <w:color w:val="FFFFFF"/>
                <w:sz w:val="18"/>
              </w:rPr>
              <w:t>Company</w:t>
            </w:r>
          </w:p>
        </w:tc>
        <w:tc>
          <w:tcPr>
            <w:tcW w:type="dxa" w:w="2556"/>
            <w:shd w:fill="17365D"/>
            <w:vAlign w:val="center"/>
          </w:tcPr>
          <w:p>
            <w:pPr>
              <w:jc w:val="left"/>
            </w:pPr>
            <w:r/>
            <w:r>
              <w:rPr>
                <w:rFonts w:ascii="Aptos" w:hAnsi="Aptos"/>
                <w:b/>
                <w:color w:val="FFFFFF"/>
                <w:sz w:val="18"/>
              </w:rPr>
              <w:t>Clearly Followed</w:t>
            </w:r>
          </w:p>
        </w:tc>
        <w:tc>
          <w:tcPr>
            <w:tcW w:type="dxa" w:w="2556"/>
            <w:shd w:fill="17365D"/>
            <w:vAlign w:val="center"/>
          </w:tcPr>
          <w:p>
            <w:pPr>
              <w:jc w:val="left"/>
            </w:pPr>
            <w:r/>
            <w:r>
              <w:rPr>
                <w:rFonts w:ascii="Aptos" w:hAnsi="Aptos"/>
                <w:b/>
                <w:color w:val="FFFFFF"/>
                <w:sz w:val="18"/>
              </w:rPr>
              <w:t>Not Publicly Verified / Not Applicable</w:t>
            </w:r>
          </w:p>
        </w:tc>
        <w:tc>
          <w:tcPr>
            <w:tcW w:type="dxa" w:w="2556"/>
            <w:shd w:fill="17365D"/>
            <w:vAlign w:val="center"/>
          </w:tcPr>
          <w:p>
            <w:pPr>
              <w:jc w:val="left"/>
            </w:pPr>
            <w:r/>
            <w:r>
              <w:rPr>
                <w:rFonts w:ascii="Aptos" w:hAnsi="Aptos"/>
                <w:b/>
                <w:color w:val="FFFFFF"/>
                <w:sz w:val="18"/>
              </w:rPr>
              <w:t>Confirmed Violation</w:t>
            </w:r>
          </w:p>
        </w:tc>
      </w:tr>
      <w:tr>
        <w:tc>
          <w:tcPr>
            <w:tcW w:type="dxa" w:w="2556"/>
            <w:vAlign w:val="center"/>
            <w:shd w:fill="F2F2F2"/>
            <w:tcBorders>
              <w:top w:val="single" w:sz="6" w:color="D9E2F3"/>
              <w:left w:val="single" w:sz="6" w:color="D9E2F3"/>
              <w:bottom w:val="single" w:sz="6" w:color="D9E2F3"/>
              <w:right w:val="single" w:sz="6" w:color="D9E2F3"/>
              <w:insideH w:val="single" w:sz="6" w:color="D9E2F3"/>
              <w:insideV w:val="single" w:sz="6" w:color="D9E2F3"/>
            </w:tcBorders>
          </w:tcPr>
          <w:p>
            <w:pPr>
              <w:jc w:val="left"/>
            </w:pPr>
            <w:r/>
            <w:r>
              <w:rPr>
                <w:rFonts w:ascii="Aptos" w:hAnsi="Aptos"/>
                <w:b w:val="0"/>
                <w:color w:val="222222"/>
                <w:sz w:val="17"/>
              </w:rPr>
              <w:t>Dixon Technologies</w:t>
            </w:r>
          </w:p>
        </w:tc>
        <w:tc>
          <w:tcPr>
            <w:tcW w:type="dxa" w:w="2556"/>
            <w:vAlign w:val="center"/>
            <w:shd w:fill="F2F2F2"/>
            <w:tcBorders>
              <w:top w:val="single" w:sz="6" w:color="D9E2F3"/>
              <w:left w:val="single" w:sz="6" w:color="D9E2F3"/>
              <w:bottom w:val="single" w:sz="6" w:color="D9E2F3"/>
              <w:right w:val="single" w:sz="6" w:color="D9E2F3"/>
              <w:insideH w:val="single" w:sz="6" w:color="D9E2F3"/>
              <w:insideV w:val="single" w:sz="6" w:color="D9E2F3"/>
            </w:tcBorders>
          </w:tcPr>
          <w:p>
            <w:pPr>
              <w:jc w:val="left"/>
            </w:pPr>
            <w:r/>
            <w:r>
              <w:rPr>
                <w:rFonts w:ascii="Aptos" w:hAnsi="Aptos"/>
                <w:b w:val="0"/>
                <w:color w:val="222222"/>
                <w:sz w:val="17"/>
              </w:rPr>
              <w:t>E-waste recycling; authorized recyclers; environmentally sound management; RoHS/hazardous-substance control; EPR-related management</w:t>
            </w:r>
          </w:p>
        </w:tc>
        <w:tc>
          <w:tcPr>
            <w:tcW w:type="dxa" w:w="2556"/>
            <w:vAlign w:val="center"/>
            <w:shd w:fill="F2F2F2"/>
            <w:tcBorders>
              <w:top w:val="single" w:sz="6" w:color="D9E2F3"/>
              <w:left w:val="single" w:sz="6" w:color="D9E2F3"/>
              <w:bottom w:val="single" w:sz="6" w:color="D9E2F3"/>
              <w:right w:val="single" w:sz="6" w:color="D9E2F3"/>
              <w:insideH w:val="single" w:sz="6" w:color="D9E2F3"/>
              <w:insideV w:val="single" w:sz="6" w:color="D9E2F3"/>
            </w:tcBorders>
          </w:tcPr>
          <w:p>
            <w:pPr>
              <w:jc w:val="left"/>
            </w:pPr>
            <w:r/>
            <w:r>
              <w:rPr>
                <w:rFonts w:ascii="Aptos" w:hAnsi="Aptos"/>
                <w:b w:val="0"/>
                <w:color w:val="222222"/>
                <w:sz w:val="17"/>
              </w:rPr>
              <w:t>Exact EPR certificate transactions and quarterly returns</w:t>
            </w:r>
          </w:p>
        </w:tc>
        <w:tc>
          <w:tcPr>
            <w:tcW w:type="dxa" w:w="2556"/>
            <w:vAlign w:val="center"/>
            <w:shd w:fill="F2F2F2"/>
            <w:tcBorders>
              <w:top w:val="single" w:sz="6" w:color="D9E2F3"/>
              <w:left w:val="single" w:sz="6" w:color="D9E2F3"/>
              <w:bottom w:val="single" w:sz="6" w:color="D9E2F3"/>
              <w:right w:val="single" w:sz="6" w:color="D9E2F3"/>
              <w:insideH w:val="single" w:sz="6" w:color="D9E2F3"/>
              <w:insideV w:val="single" w:sz="6" w:color="D9E2F3"/>
            </w:tcBorders>
          </w:tcPr>
          <w:p>
            <w:pPr>
              <w:jc w:val="left"/>
            </w:pPr>
            <w:r/>
            <w:r>
              <w:rPr>
                <w:rFonts w:ascii="Aptos" w:hAnsi="Aptos"/>
                <w:b w:val="0"/>
                <w:color w:val="222222"/>
                <w:sz w:val="17"/>
              </w:rPr>
              <w:t>None identified</w:t>
            </w:r>
          </w:p>
        </w:tc>
      </w:tr>
      <w:tr>
        <w:tc>
          <w:tcPr>
            <w:tcW w:type="dxa" w:w="2556"/>
            <w:vAlign w:val="center"/>
            <w:shd w:fill="FFFFFF"/>
            <w:tcBorders>
              <w:top w:val="single" w:sz="6" w:color="D9E2F3"/>
              <w:left w:val="single" w:sz="6" w:color="D9E2F3"/>
              <w:bottom w:val="single" w:sz="6" w:color="D9E2F3"/>
              <w:right w:val="single" w:sz="6" w:color="D9E2F3"/>
              <w:insideH w:val="single" w:sz="6" w:color="D9E2F3"/>
              <w:insideV w:val="single" w:sz="6" w:color="D9E2F3"/>
            </w:tcBorders>
          </w:tcPr>
          <w:p>
            <w:pPr>
              <w:jc w:val="left"/>
            </w:pPr>
            <w:r/>
            <w:r>
              <w:rPr>
                <w:rFonts w:ascii="Aptos" w:hAnsi="Aptos"/>
                <w:b w:val="0"/>
                <w:color w:val="222222"/>
                <w:sz w:val="17"/>
              </w:rPr>
              <w:t>Kaynes Technology</w:t>
            </w:r>
          </w:p>
        </w:tc>
        <w:tc>
          <w:tcPr>
            <w:tcW w:type="dxa" w:w="2556"/>
            <w:vAlign w:val="center"/>
            <w:shd w:fill="FFFFFF"/>
            <w:tcBorders>
              <w:top w:val="single" w:sz="6" w:color="D9E2F3"/>
              <w:left w:val="single" w:sz="6" w:color="D9E2F3"/>
              <w:bottom w:val="single" w:sz="6" w:color="D9E2F3"/>
              <w:right w:val="single" w:sz="6" w:color="D9E2F3"/>
              <w:insideH w:val="single" w:sz="6" w:color="D9E2F3"/>
              <w:insideV w:val="single" w:sz="6" w:color="D9E2F3"/>
            </w:tcBorders>
          </w:tcPr>
          <w:p>
            <w:pPr>
              <w:jc w:val="left"/>
            </w:pPr>
            <w:r/>
            <w:r>
              <w:rPr>
                <w:rFonts w:ascii="Aptos" w:hAnsi="Aptos"/>
                <w:b w:val="0"/>
                <w:color w:val="222222"/>
                <w:sz w:val="17"/>
              </w:rPr>
              <w:t>Authorized e-waste management; recycling; hazardous-waste management; RoHS; EPR-related disclosures</w:t>
            </w:r>
          </w:p>
        </w:tc>
        <w:tc>
          <w:tcPr>
            <w:tcW w:type="dxa" w:w="2556"/>
            <w:vAlign w:val="center"/>
            <w:shd w:fill="FFFFFF"/>
            <w:tcBorders>
              <w:top w:val="single" w:sz="6" w:color="D9E2F3"/>
              <w:left w:val="single" w:sz="6" w:color="D9E2F3"/>
              <w:bottom w:val="single" w:sz="6" w:color="D9E2F3"/>
              <w:right w:val="single" w:sz="6" w:color="D9E2F3"/>
              <w:insideH w:val="single" w:sz="6" w:color="D9E2F3"/>
              <w:insideV w:val="single" w:sz="6" w:color="D9E2F3"/>
            </w:tcBorders>
          </w:tcPr>
          <w:p>
            <w:pPr>
              <w:jc w:val="left"/>
            </w:pPr>
            <w:r/>
            <w:r>
              <w:rPr>
                <w:rFonts w:ascii="Aptos" w:hAnsi="Aptos"/>
                <w:b w:val="0"/>
                <w:color w:val="222222"/>
                <w:sz w:val="17"/>
              </w:rPr>
              <w:t>Exact EPR certificate transactions and quarterly returns</w:t>
            </w:r>
          </w:p>
        </w:tc>
        <w:tc>
          <w:tcPr>
            <w:tcW w:type="dxa" w:w="2556"/>
            <w:vAlign w:val="center"/>
            <w:shd w:fill="FFFFFF"/>
            <w:tcBorders>
              <w:top w:val="single" w:sz="6" w:color="D9E2F3"/>
              <w:left w:val="single" w:sz="6" w:color="D9E2F3"/>
              <w:bottom w:val="single" w:sz="6" w:color="D9E2F3"/>
              <w:right w:val="single" w:sz="6" w:color="D9E2F3"/>
              <w:insideH w:val="single" w:sz="6" w:color="D9E2F3"/>
              <w:insideV w:val="single" w:sz="6" w:color="D9E2F3"/>
            </w:tcBorders>
          </w:tcPr>
          <w:p>
            <w:pPr>
              <w:jc w:val="left"/>
            </w:pPr>
            <w:r/>
            <w:r>
              <w:rPr>
                <w:rFonts w:ascii="Aptos" w:hAnsi="Aptos"/>
                <w:b w:val="0"/>
                <w:color w:val="222222"/>
                <w:sz w:val="17"/>
              </w:rPr>
              <w:t>None identified</w:t>
            </w:r>
          </w:p>
        </w:tc>
      </w:tr>
      <w:tr>
        <w:tc>
          <w:tcPr>
            <w:tcW w:type="dxa" w:w="2556"/>
            <w:vAlign w:val="center"/>
            <w:shd w:fill="F2F2F2"/>
            <w:tcBorders>
              <w:top w:val="single" w:sz="6" w:color="D9E2F3"/>
              <w:left w:val="single" w:sz="6" w:color="D9E2F3"/>
              <w:bottom w:val="single" w:sz="6" w:color="D9E2F3"/>
              <w:right w:val="single" w:sz="6" w:color="D9E2F3"/>
              <w:insideH w:val="single" w:sz="6" w:color="D9E2F3"/>
              <w:insideV w:val="single" w:sz="6" w:color="D9E2F3"/>
            </w:tcBorders>
          </w:tcPr>
          <w:p>
            <w:pPr>
              <w:jc w:val="left"/>
            </w:pPr>
            <w:r/>
            <w:r>
              <w:rPr>
                <w:rFonts w:ascii="Aptos" w:hAnsi="Aptos"/>
                <w:b w:val="0"/>
                <w:color w:val="222222"/>
                <w:sz w:val="17"/>
              </w:rPr>
              <w:t>Syrma SGS</w:t>
            </w:r>
          </w:p>
        </w:tc>
        <w:tc>
          <w:tcPr>
            <w:tcW w:type="dxa" w:w="2556"/>
            <w:vAlign w:val="center"/>
            <w:shd w:fill="F2F2F2"/>
            <w:tcBorders>
              <w:top w:val="single" w:sz="6" w:color="D9E2F3"/>
              <w:left w:val="single" w:sz="6" w:color="D9E2F3"/>
              <w:bottom w:val="single" w:sz="6" w:color="D9E2F3"/>
              <w:right w:val="single" w:sz="6" w:color="D9E2F3"/>
              <w:insideH w:val="single" w:sz="6" w:color="D9E2F3"/>
              <w:insideV w:val="single" w:sz="6" w:color="D9E2F3"/>
            </w:tcBorders>
          </w:tcPr>
          <w:p>
            <w:pPr>
              <w:jc w:val="left"/>
            </w:pPr>
            <w:r/>
            <w:r>
              <w:rPr>
                <w:rFonts w:ascii="Aptos" w:hAnsi="Aptos"/>
                <w:b w:val="0"/>
                <w:color w:val="222222"/>
                <w:sz w:val="17"/>
              </w:rPr>
              <w:t>EPR system; authorized recycler; collection; transport/storage; segregation; dismantling/recycling; RoHS-related compliance</w:t>
            </w:r>
          </w:p>
        </w:tc>
        <w:tc>
          <w:tcPr>
            <w:tcW w:type="dxa" w:w="2556"/>
            <w:vAlign w:val="center"/>
            <w:shd w:fill="F2F2F2"/>
            <w:tcBorders>
              <w:top w:val="single" w:sz="6" w:color="D9E2F3"/>
              <w:left w:val="single" w:sz="6" w:color="D9E2F3"/>
              <w:bottom w:val="single" w:sz="6" w:color="D9E2F3"/>
              <w:right w:val="single" w:sz="6" w:color="D9E2F3"/>
              <w:insideH w:val="single" w:sz="6" w:color="D9E2F3"/>
              <w:insideV w:val="single" w:sz="6" w:color="D9E2F3"/>
            </w:tcBorders>
          </w:tcPr>
          <w:p>
            <w:pPr>
              <w:jc w:val="left"/>
            </w:pPr>
            <w:r/>
            <w:r>
              <w:rPr>
                <w:rFonts w:ascii="Aptos" w:hAnsi="Aptos"/>
                <w:b w:val="0"/>
                <w:color w:val="222222"/>
                <w:sz w:val="17"/>
              </w:rPr>
              <w:t>Exact EPR certificates and quarterly return data</w:t>
            </w:r>
          </w:p>
        </w:tc>
        <w:tc>
          <w:tcPr>
            <w:tcW w:type="dxa" w:w="2556"/>
            <w:vAlign w:val="center"/>
            <w:shd w:fill="F2F2F2"/>
            <w:tcBorders>
              <w:top w:val="single" w:sz="6" w:color="D9E2F3"/>
              <w:left w:val="single" w:sz="6" w:color="D9E2F3"/>
              <w:bottom w:val="single" w:sz="6" w:color="D9E2F3"/>
              <w:right w:val="single" w:sz="6" w:color="D9E2F3"/>
              <w:insideH w:val="single" w:sz="6" w:color="D9E2F3"/>
              <w:insideV w:val="single" w:sz="6" w:color="D9E2F3"/>
            </w:tcBorders>
          </w:tcPr>
          <w:p>
            <w:pPr>
              <w:jc w:val="left"/>
            </w:pPr>
            <w:r/>
            <w:r>
              <w:rPr>
                <w:rFonts w:ascii="Aptos" w:hAnsi="Aptos"/>
                <w:b w:val="0"/>
                <w:color w:val="222222"/>
                <w:sz w:val="17"/>
              </w:rPr>
              <w:t>None identified</w:t>
            </w:r>
          </w:p>
        </w:tc>
      </w:tr>
      <w:tr>
        <w:tc>
          <w:tcPr>
            <w:tcW w:type="dxa" w:w="2556"/>
            <w:vAlign w:val="center"/>
            <w:shd w:fill="FFFFFF"/>
            <w:tcBorders>
              <w:top w:val="single" w:sz="6" w:color="D9E2F3"/>
              <w:left w:val="single" w:sz="6" w:color="D9E2F3"/>
              <w:bottom w:val="single" w:sz="6" w:color="D9E2F3"/>
              <w:right w:val="single" w:sz="6" w:color="D9E2F3"/>
              <w:insideH w:val="single" w:sz="6" w:color="D9E2F3"/>
              <w:insideV w:val="single" w:sz="6" w:color="D9E2F3"/>
            </w:tcBorders>
          </w:tcPr>
          <w:p>
            <w:pPr>
              <w:jc w:val="left"/>
            </w:pPr>
            <w:r/>
            <w:r>
              <w:rPr>
                <w:rFonts w:ascii="Aptos" w:hAnsi="Aptos"/>
                <w:b w:val="0"/>
                <w:color w:val="222222"/>
                <w:sz w:val="17"/>
              </w:rPr>
              <w:t>Foxconn</w:t>
            </w:r>
          </w:p>
        </w:tc>
        <w:tc>
          <w:tcPr>
            <w:tcW w:type="dxa" w:w="2556"/>
            <w:vAlign w:val="center"/>
            <w:shd w:fill="FFFFFF"/>
            <w:tcBorders>
              <w:top w:val="single" w:sz="6" w:color="D9E2F3"/>
              <w:left w:val="single" w:sz="6" w:color="D9E2F3"/>
              <w:bottom w:val="single" w:sz="6" w:color="D9E2F3"/>
              <w:right w:val="single" w:sz="6" w:color="D9E2F3"/>
              <w:insideH w:val="single" w:sz="6" w:color="D9E2F3"/>
              <w:insideV w:val="single" w:sz="6" w:color="D9E2F3"/>
            </w:tcBorders>
          </w:tcPr>
          <w:p>
            <w:pPr>
              <w:jc w:val="left"/>
            </w:pPr>
            <w:r/>
            <w:r>
              <w:rPr>
                <w:rFonts w:ascii="Aptos" w:hAnsi="Aptos"/>
                <w:b w:val="0"/>
                <w:color w:val="222222"/>
                <w:sz w:val="17"/>
              </w:rPr>
              <w:t>Waste management; recycling; hazardous-substance controls; environmental monitoring/auditing</w:t>
            </w:r>
          </w:p>
        </w:tc>
        <w:tc>
          <w:tcPr>
            <w:tcW w:type="dxa" w:w="2556"/>
            <w:vAlign w:val="center"/>
            <w:shd w:fill="FFFFFF"/>
            <w:tcBorders>
              <w:top w:val="single" w:sz="6" w:color="D9E2F3"/>
              <w:left w:val="single" w:sz="6" w:color="D9E2F3"/>
              <w:bottom w:val="single" w:sz="6" w:color="D9E2F3"/>
              <w:right w:val="single" w:sz="6" w:color="D9E2F3"/>
              <w:insideH w:val="single" w:sz="6" w:color="D9E2F3"/>
              <w:insideV w:val="single" w:sz="6" w:color="D9E2F3"/>
            </w:tcBorders>
          </w:tcPr>
          <w:p>
            <w:pPr>
              <w:jc w:val="left"/>
            </w:pPr>
            <w:r/>
            <w:r>
              <w:rPr>
                <w:rFonts w:ascii="Aptos" w:hAnsi="Aptos"/>
                <w:b w:val="0"/>
                <w:color w:val="222222"/>
                <w:sz w:val="17"/>
              </w:rPr>
              <w:t>India-specific EPR registration, certificates, targets and returns</w:t>
            </w:r>
          </w:p>
        </w:tc>
        <w:tc>
          <w:tcPr>
            <w:tcW w:type="dxa" w:w="2556"/>
            <w:vAlign w:val="center"/>
            <w:shd w:fill="FFFFFF"/>
            <w:tcBorders>
              <w:top w:val="single" w:sz="6" w:color="D9E2F3"/>
              <w:left w:val="single" w:sz="6" w:color="D9E2F3"/>
              <w:bottom w:val="single" w:sz="6" w:color="D9E2F3"/>
              <w:right w:val="single" w:sz="6" w:color="D9E2F3"/>
              <w:insideH w:val="single" w:sz="6" w:color="D9E2F3"/>
              <w:insideV w:val="single" w:sz="6" w:color="D9E2F3"/>
            </w:tcBorders>
          </w:tcPr>
          <w:p>
            <w:pPr>
              <w:jc w:val="left"/>
            </w:pPr>
            <w:r/>
            <w:r>
              <w:rPr>
                <w:rFonts w:ascii="Aptos" w:hAnsi="Aptos"/>
                <w:b w:val="0"/>
                <w:color w:val="222222"/>
                <w:sz w:val="17"/>
              </w:rPr>
              <w:t>None identified</w:t>
            </w:r>
          </w:p>
        </w:tc>
      </w:tr>
      <w:tr>
        <w:tc>
          <w:tcPr>
            <w:tcW w:type="dxa" w:w="2556"/>
            <w:vAlign w:val="center"/>
            <w:shd w:fill="F2F2F2"/>
            <w:tcBorders>
              <w:top w:val="single" w:sz="6" w:color="D9E2F3"/>
              <w:left w:val="single" w:sz="6" w:color="D9E2F3"/>
              <w:bottom w:val="single" w:sz="6" w:color="D9E2F3"/>
              <w:right w:val="single" w:sz="6" w:color="D9E2F3"/>
              <w:insideH w:val="single" w:sz="6" w:color="D9E2F3"/>
              <w:insideV w:val="single" w:sz="6" w:color="D9E2F3"/>
            </w:tcBorders>
          </w:tcPr>
          <w:p>
            <w:pPr>
              <w:jc w:val="left"/>
            </w:pPr>
            <w:r/>
            <w:r>
              <w:rPr>
                <w:rFonts w:ascii="Aptos" w:hAnsi="Aptos"/>
                <w:b w:val="0"/>
                <w:color w:val="222222"/>
                <w:sz w:val="17"/>
              </w:rPr>
              <w:t>Centum Electronics</w:t>
            </w:r>
          </w:p>
        </w:tc>
        <w:tc>
          <w:tcPr>
            <w:tcW w:type="dxa" w:w="2556"/>
            <w:vAlign w:val="center"/>
            <w:shd w:fill="F2F2F2"/>
            <w:tcBorders>
              <w:top w:val="single" w:sz="6" w:color="D9E2F3"/>
              <w:left w:val="single" w:sz="6" w:color="D9E2F3"/>
              <w:bottom w:val="single" w:sz="6" w:color="D9E2F3"/>
              <w:right w:val="single" w:sz="6" w:color="D9E2F3"/>
              <w:insideH w:val="single" w:sz="6" w:color="D9E2F3"/>
              <w:insideV w:val="single" w:sz="6" w:color="D9E2F3"/>
            </w:tcBorders>
          </w:tcPr>
          <w:p>
            <w:pPr>
              <w:jc w:val="left"/>
            </w:pPr>
            <w:r/>
            <w:r>
              <w:rPr>
                <w:rFonts w:ascii="Aptos" w:hAnsi="Aptos"/>
                <w:b w:val="0"/>
                <w:color w:val="222222"/>
                <w:sz w:val="17"/>
              </w:rPr>
              <w:t>E-waste segregation/management; approved recycler; recycling/reuse; RoHS</w:t>
            </w:r>
          </w:p>
        </w:tc>
        <w:tc>
          <w:tcPr>
            <w:tcW w:type="dxa" w:w="2556"/>
            <w:vAlign w:val="center"/>
            <w:shd w:fill="F2F2F2"/>
            <w:tcBorders>
              <w:top w:val="single" w:sz="6" w:color="D9E2F3"/>
              <w:left w:val="single" w:sz="6" w:color="D9E2F3"/>
              <w:bottom w:val="single" w:sz="6" w:color="D9E2F3"/>
              <w:right w:val="single" w:sz="6" w:color="D9E2F3"/>
              <w:insideH w:val="single" w:sz="6" w:color="D9E2F3"/>
              <w:insideV w:val="single" w:sz="6" w:color="D9E2F3"/>
            </w:tcBorders>
          </w:tcPr>
          <w:p>
            <w:pPr>
              <w:jc w:val="left"/>
            </w:pPr>
            <w:r/>
            <w:r>
              <w:rPr>
                <w:rFonts w:ascii="Aptos" w:hAnsi="Aptos"/>
                <w:b w:val="0"/>
                <w:color w:val="222222"/>
                <w:sz w:val="17"/>
              </w:rPr>
              <w:t>EPR reported as not applicable to its activities; producer-specific records not assessed</w:t>
            </w:r>
          </w:p>
        </w:tc>
        <w:tc>
          <w:tcPr>
            <w:tcW w:type="dxa" w:w="2556"/>
            <w:vAlign w:val="center"/>
            <w:shd w:fill="F2F2F2"/>
            <w:tcBorders>
              <w:top w:val="single" w:sz="6" w:color="D9E2F3"/>
              <w:left w:val="single" w:sz="6" w:color="D9E2F3"/>
              <w:bottom w:val="single" w:sz="6" w:color="D9E2F3"/>
              <w:right w:val="single" w:sz="6" w:color="D9E2F3"/>
              <w:insideH w:val="single" w:sz="6" w:color="D9E2F3"/>
              <w:insideV w:val="single" w:sz="6" w:color="D9E2F3"/>
            </w:tcBorders>
          </w:tcPr>
          <w:p>
            <w:pPr>
              <w:jc w:val="left"/>
            </w:pPr>
            <w:r/>
            <w:r>
              <w:rPr>
                <w:rFonts w:ascii="Aptos" w:hAnsi="Aptos"/>
                <w:b w:val="0"/>
                <w:color w:val="222222"/>
                <w:sz w:val="17"/>
              </w:rPr>
              <w:t>None identified</w:t>
            </w:r>
          </w:p>
        </w:tc>
      </w:tr>
    </w:tbl>
    <w:p/>
    <w:tbl>
      <w:tblPr>
        <w:tblW w:type="auto" w:w="0"/>
        <w:jc w:val="center"/>
        <w:tblLook w:firstColumn="1" w:firstRow="1" w:lastColumn="0" w:lastRow="0" w:noHBand="0" w:noVBand="1" w:val="04A0"/>
      </w:tblPr>
      <w:tblGrid>
        <w:gridCol w:w="10224"/>
      </w:tblGrid>
      <w:tr>
        <w:tc>
          <w:tcPr>
            <w:tcW w:type="dxa" w:w="10224"/>
            <w:shd w:fill="E2F0D9"/>
            <w:tcBorders>
              <w:top w:val="single" w:sz="10" w:color="548235"/>
              <w:left w:val="single" w:sz="10" w:color="548235"/>
              <w:bottom w:val="single" w:sz="10" w:color="548235"/>
              <w:right w:val="single" w:sz="10" w:color="548235"/>
              <w:insideH w:val="single" w:sz="10" w:color="548235"/>
              <w:insideV w:val="single" w:sz="10" w:color="548235"/>
            </w:tcBorders>
          </w:tcPr>
          <w:p>
            <w:r>
              <w:rPr>
                <w:rFonts w:ascii="Aptos Display" w:hAnsi="Aptos Display"/>
                <w:b/>
                <w:color w:val="548235"/>
                <w:sz w:val="30"/>
              </w:rPr>
              <w:t>4. Dixon Technologies</w:t>
            </w:r>
          </w:p>
        </w:tc>
      </w:tr>
    </w:tbl>
    <w:p>
      <w:pPr>
        <w:spacing w:before="140" w:after="80"/>
      </w:pPr>
      <w:r>
        <w:rPr>
          <w:rFonts w:ascii="Aptos Display" w:hAnsi="Aptos Display"/>
          <w:b/>
          <w:color w:val="2F75B5"/>
          <w:sz w:val="24"/>
        </w:rPr>
        <w:t>Rules / practices clearly followed</w:t>
      </w:r>
    </w:p>
    <w:p>
      <w:pPr>
        <w:spacing w:after="40"/>
        <w:ind w:left="259" w:hanging="202"/>
      </w:pPr>
      <w:r>
        <w:rPr>
          <w:b/>
          <w:color w:val="2F75B5"/>
        </w:rPr>
        <w:t xml:space="preserve">✓ </w:t>
      </w:r>
      <w:r>
        <w:rPr>
          <w:rFonts w:ascii="Aptos" w:hAnsi="Aptos"/>
          <w:color w:val="548235"/>
          <w:sz w:val="20"/>
        </w:rPr>
        <w:t>E-waste is managed through authorized recyclers / formal recycling channels.</w:t>
      </w:r>
    </w:p>
    <w:p>
      <w:pPr>
        <w:spacing w:after="40"/>
        <w:ind w:left="259" w:hanging="202"/>
      </w:pPr>
      <w:r>
        <w:rPr>
          <w:b/>
          <w:color w:val="2F75B5"/>
        </w:rPr>
        <w:t xml:space="preserve">✓ </w:t>
      </w:r>
      <w:r>
        <w:rPr>
          <w:rFonts w:ascii="Aptos" w:hAnsi="Aptos"/>
          <w:color w:val="548235"/>
          <w:sz w:val="20"/>
        </w:rPr>
        <w:t>Environmentally sound waste-management practices are reported.</w:t>
      </w:r>
    </w:p>
    <w:p>
      <w:pPr>
        <w:spacing w:after="40"/>
        <w:ind w:left="259" w:hanging="202"/>
      </w:pPr>
      <w:r>
        <w:rPr>
          <w:b/>
          <w:color w:val="2F75B5"/>
        </w:rPr>
        <w:t xml:space="preserve">✓ </w:t>
      </w:r>
      <w:r>
        <w:rPr>
          <w:rFonts w:ascii="Aptos" w:hAnsi="Aptos"/>
          <w:color w:val="548235"/>
          <w:sz w:val="20"/>
        </w:rPr>
        <w:t>Hazardous substances such as lead, mercury and cadmium are addressed through applicable product/material controls.</w:t>
      </w:r>
    </w:p>
    <w:p>
      <w:pPr>
        <w:spacing w:after="40"/>
        <w:ind w:left="259" w:hanging="202"/>
      </w:pPr>
      <w:r>
        <w:rPr>
          <w:b/>
          <w:color w:val="2F75B5"/>
        </w:rPr>
        <w:t xml:space="preserve">✓ </w:t>
      </w:r>
      <w:r>
        <w:rPr>
          <w:rFonts w:ascii="Aptos" w:hAnsi="Aptos"/>
          <w:color w:val="548235"/>
          <w:sz w:val="20"/>
        </w:rPr>
        <w:t>EPR-related e-waste management responsibilities are addressed.</w:t>
      </w:r>
    </w:p>
    <w:p>
      <w:pPr>
        <w:spacing w:before="140" w:after="80"/>
      </w:pPr>
      <w:r>
        <w:rPr>
          <w:rFonts w:ascii="Aptos Display" w:hAnsi="Aptos Display"/>
          <w:b/>
          <w:color w:val="2F75B5"/>
          <w:sz w:val="24"/>
        </w:rPr>
        <w:t>Not followed / not publicly verified</w:t>
      </w:r>
    </w:p>
    <w:p>
      <w:pPr>
        <w:spacing w:after="40"/>
        <w:ind w:left="259" w:hanging="202"/>
      </w:pPr>
      <w:r>
        <w:rPr>
          <w:b/>
          <w:color w:val="2F75B5"/>
        </w:rPr>
        <w:t xml:space="preserve">⚠ </w:t>
      </w:r>
      <w:r>
        <w:rPr>
          <w:rFonts w:ascii="Aptos" w:hAnsi="Aptos"/>
          <w:color w:val="9C6500"/>
          <w:sz w:val="20"/>
        </w:rPr>
        <w:t>Exact EPR certificate quantities/transactions were not independently verified from the public information reviewed.</w:t>
      </w:r>
    </w:p>
    <w:p>
      <w:pPr>
        <w:spacing w:after="40"/>
        <w:ind w:left="259" w:hanging="202"/>
      </w:pPr>
      <w:r>
        <w:rPr>
          <w:b/>
          <w:color w:val="2F75B5"/>
        </w:rPr>
        <w:t xml:space="preserve">⚠ </w:t>
      </w:r>
      <w:r>
        <w:rPr>
          <w:rFonts w:ascii="Aptos" w:hAnsi="Aptos"/>
          <w:color w:val="9C6500"/>
          <w:sz w:val="20"/>
        </w:rPr>
        <w:t>Detailed quarterly EPR return records were not publicly verified.</w:t>
      </w:r>
    </w:p>
    <w:tbl>
      <w:tblPr>
        <w:tblW w:type="auto" w:w="0"/>
        <w:jc w:val="center"/>
        <w:tblLook w:firstColumn="1" w:firstRow="1" w:lastColumn="0" w:lastRow="0" w:noHBand="0" w:noVBand="1" w:val="04A0"/>
      </w:tblPr>
      <w:tblGrid>
        <w:gridCol w:w="10224"/>
      </w:tblGrid>
      <w:tr>
        <w:tc>
          <w:tcPr>
            <w:tcW w:type="dxa" w:w="10224"/>
            <w:shd w:fill="E2F0D9"/>
            <w:tcBorders>
              <w:top w:val="single" w:sz="8" w:color="E6D18A"/>
              <w:left w:val="single" w:sz="8" w:color="E6D18A"/>
              <w:bottom w:val="single" w:sz="8" w:color="E6D18A"/>
              <w:right w:val="single" w:sz="8" w:color="E6D18A"/>
              <w:insideH w:val="single" w:sz="8" w:color="E6D18A"/>
              <w:insideV w:val="single" w:sz="8" w:color="E6D18A"/>
            </w:tcBorders>
          </w:tcPr>
          <w:p>
            <w:pPr>
              <w:spacing w:after="0"/>
            </w:pPr>
            <w:r>
              <w:rPr>
                <w:rFonts w:ascii="Aptos" w:hAnsi="Aptos"/>
                <w:color w:val="222222"/>
                <w:sz w:val="18"/>
              </w:rPr>
              <w:t>Overall assessment: Strong compliance evidence; no confirmed violation identified.</w:t>
            </w:r>
          </w:p>
        </w:tc>
      </w:tr>
    </w:tbl>
    <w:p/>
    <w:tbl>
      <w:tblPr>
        <w:tblW w:type="auto" w:w="0"/>
        <w:jc w:val="center"/>
        <w:tblLook w:firstColumn="1" w:firstRow="1" w:lastColumn="0" w:lastRow="0" w:noHBand="0" w:noVBand="1" w:val="04A0"/>
      </w:tblPr>
      <w:tblGrid>
        <w:gridCol w:w="10224"/>
      </w:tblGrid>
      <w:tr>
        <w:tc>
          <w:tcPr>
            <w:tcW w:type="dxa" w:w="10224"/>
            <w:shd w:fill="D9EAF7"/>
            <w:tcBorders>
              <w:top w:val="single" w:sz="10" w:color="2F75B5"/>
              <w:left w:val="single" w:sz="10" w:color="2F75B5"/>
              <w:bottom w:val="single" w:sz="10" w:color="2F75B5"/>
              <w:right w:val="single" w:sz="10" w:color="2F75B5"/>
              <w:insideH w:val="single" w:sz="10" w:color="2F75B5"/>
              <w:insideV w:val="single" w:sz="10" w:color="2F75B5"/>
            </w:tcBorders>
          </w:tcPr>
          <w:p>
            <w:r>
              <w:rPr>
                <w:rFonts w:ascii="Aptos Display" w:hAnsi="Aptos Display"/>
                <w:b/>
                <w:color w:val="2F75B5"/>
                <w:sz w:val="30"/>
              </w:rPr>
              <w:t>5. Kaynes Technology</w:t>
            </w:r>
          </w:p>
        </w:tc>
      </w:tr>
    </w:tbl>
    <w:p>
      <w:pPr>
        <w:spacing w:before="140" w:after="80"/>
      </w:pPr>
      <w:r>
        <w:rPr>
          <w:rFonts w:ascii="Aptos Display" w:hAnsi="Aptos Display"/>
          <w:b/>
          <w:color w:val="2F75B5"/>
          <w:sz w:val="24"/>
        </w:rPr>
        <w:t>Rules / practices clearly followed</w:t>
      </w:r>
    </w:p>
    <w:p>
      <w:pPr>
        <w:spacing w:after="40"/>
        <w:ind w:left="259" w:hanging="202"/>
      </w:pPr>
      <w:r>
        <w:rPr>
          <w:b/>
          <w:color w:val="2F75B5"/>
        </w:rPr>
        <w:t xml:space="preserve">✓ </w:t>
      </w:r>
      <w:r>
        <w:rPr>
          <w:rFonts w:ascii="Aptos" w:hAnsi="Aptos"/>
          <w:color w:val="2F75B5"/>
          <w:sz w:val="20"/>
        </w:rPr>
        <w:t>E-waste is handed over to an authorized agency / recycler.</w:t>
      </w:r>
    </w:p>
    <w:p>
      <w:pPr>
        <w:spacing w:after="40"/>
        <w:ind w:left="259" w:hanging="202"/>
      </w:pPr>
      <w:r>
        <w:rPr>
          <w:b/>
          <w:color w:val="2F75B5"/>
        </w:rPr>
        <w:t xml:space="preserve">✓ </w:t>
      </w:r>
      <w:r>
        <w:rPr>
          <w:rFonts w:ascii="Aptos" w:hAnsi="Aptos"/>
          <w:color w:val="2F75B5"/>
          <w:sz w:val="20"/>
        </w:rPr>
        <w:t>Waste is managed through recycling and authorized waste-management channels.</w:t>
      </w:r>
    </w:p>
    <w:p>
      <w:pPr>
        <w:spacing w:after="40"/>
        <w:ind w:left="259" w:hanging="202"/>
      </w:pPr>
      <w:r>
        <w:rPr>
          <w:b/>
          <w:color w:val="2F75B5"/>
        </w:rPr>
        <w:t xml:space="preserve">✓ </w:t>
      </w:r>
      <w:r>
        <w:rPr>
          <w:rFonts w:ascii="Aptos" w:hAnsi="Aptos"/>
          <w:color w:val="2F75B5"/>
          <w:sz w:val="20"/>
        </w:rPr>
        <w:t>Hazardous/non-recyclable waste is handled through authorized vendors.</w:t>
      </w:r>
    </w:p>
    <w:p>
      <w:pPr>
        <w:spacing w:after="40"/>
        <w:ind w:left="259" w:hanging="202"/>
      </w:pPr>
      <w:r>
        <w:rPr>
          <w:b/>
          <w:color w:val="2F75B5"/>
        </w:rPr>
        <w:t xml:space="preserve">✓ </w:t>
      </w:r>
      <w:r>
        <w:rPr>
          <w:rFonts w:ascii="Aptos" w:hAnsi="Aptos"/>
          <w:color w:val="2F75B5"/>
          <w:sz w:val="20"/>
        </w:rPr>
        <w:t>RoHS/REACH-related compliance is disclosed.</w:t>
      </w:r>
    </w:p>
    <w:p>
      <w:pPr>
        <w:spacing w:after="40"/>
        <w:ind w:left="259" w:hanging="202"/>
      </w:pPr>
      <w:r>
        <w:rPr>
          <w:b/>
          <w:color w:val="2F75B5"/>
        </w:rPr>
        <w:t xml:space="preserve">✓ </w:t>
      </w:r>
      <w:r>
        <w:rPr>
          <w:rFonts w:ascii="Aptos" w:hAnsi="Aptos"/>
          <w:color w:val="2F75B5"/>
          <w:sz w:val="20"/>
        </w:rPr>
        <w:t>EPR-related compliance is addressed in company disclosures.</w:t>
      </w:r>
    </w:p>
    <w:p>
      <w:pPr>
        <w:spacing w:before="140" w:after="80"/>
      </w:pPr>
      <w:r>
        <w:rPr>
          <w:rFonts w:ascii="Aptos Display" w:hAnsi="Aptos Display"/>
          <w:b/>
          <w:color w:val="2F75B5"/>
          <w:sz w:val="24"/>
        </w:rPr>
        <w:t>Not followed / not publicly verified</w:t>
      </w:r>
    </w:p>
    <w:p>
      <w:pPr>
        <w:spacing w:after="40"/>
        <w:ind w:left="259" w:hanging="202"/>
      </w:pPr>
      <w:r>
        <w:rPr>
          <w:b/>
          <w:color w:val="2F75B5"/>
        </w:rPr>
        <w:t xml:space="preserve">⚠ </w:t>
      </w:r>
      <w:r>
        <w:rPr>
          <w:rFonts w:ascii="Aptos" w:hAnsi="Aptos"/>
          <w:color w:val="9C6500"/>
          <w:sz w:val="20"/>
        </w:rPr>
        <w:t>Exact EPR certificate quantities/transactions were not independently verified.</w:t>
      </w:r>
    </w:p>
    <w:p>
      <w:pPr>
        <w:spacing w:after="40"/>
        <w:ind w:left="259" w:hanging="202"/>
      </w:pPr>
      <w:r>
        <w:rPr>
          <w:b/>
          <w:color w:val="2F75B5"/>
        </w:rPr>
        <w:t xml:space="preserve">⚠ </w:t>
      </w:r>
      <w:r>
        <w:rPr>
          <w:rFonts w:ascii="Aptos" w:hAnsi="Aptos"/>
          <w:color w:val="9C6500"/>
          <w:sz w:val="20"/>
        </w:rPr>
        <w:t>Detailed quarterly EPR return records were not publicly verified.</w:t>
      </w:r>
    </w:p>
    <w:tbl>
      <w:tblPr>
        <w:tblW w:type="auto" w:w="0"/>
        <w:jc w:val="center"/>
        <w:tblLook w:firstColumn="1" w:firstRow="1" w:lastColumn="0" w:lastRow="0" w:noHBand="0" w:noVBand="1" w:val="04A0"/>
      </w:tblPr>
      <w:tblGrid>
        <w:gridCol w:w="10224"/>
      </w:tblGrid>
      <w:tr>
        <w:tc>
          <w:tcPr>
            <w:tcW w:type="dxa" w:w="10224"/>
            <w:shd w:fill="D9EAF7"/>
            <w:tcBorders>
              <w:top w:val="single" w:sz="8" w:color="E6D18A"/>
              <w:left w:val="single" w:sz="8" w:color="E6D18A"/>
              <w:bottom w:val="single" w:sz="8" w:color="E6D18A"/>
              <w:right w:val="single" w:sz="8" w:color="E6D18A"/>
              <w:insideH w:val="single" w:sz="8" w:color="E6D18A"/>
              <w:insideV w:val="single" w:sz="8" w:color="E6D18A"/>
            </w:tcBorders>
          </w:tcPr>
          <w:p>
            <w:pPr>
              <w:spacing w:after="0"/>
            </w:pPr>
            <w:r>
              <w:rPr>
                <w:rFonts w:ascii="Aptos" w:hAnsi="Aptos"/>
                <w:color w:val="222222"/>
                <w:sz w:val="18"/>
              </w:rPr>
              <w:t>Overall assessment: Mostly strong compliance evidence; no confirmed violation identified.</w:t>
            </w:r>
          </w:p>
        </w:tc>
      </w:tr>
    </w:tbl>
    <w:p/>
    <w:tbl>
      <w:tblPr>
        <w:tblW w:type="auto" w:w="0"/>
        <w:jc w:val="center"/>
        <w:tblLook w:firstColumn="1" w:firstRow="1" w:lastColumn="0" w:lastRow="0" w:noHBand="0" w:noVBand="1" w:val="04A0"/>
      </w:tblPr>
      <w:tblGrid>
        <w:gridCol w:w="10224"/>
      </w:tblGrid>
      <w:tr>
        <w:tc>
          <w:tcPr>
            <w:tcW w:type="dxa" w:w="10224"/>
            <w:shd w:fill="E2F0D9"/>
            <w:tcBorders>
              <w:top w:val="single" w:sz="10" w:color="548235"/>
              <w:left w:val="single" w:sz="10" w:color="548235"/>
              <w:bottom w:val="single" w:sz="10" w:color="548235"/>
              <w:right w:val="single" w:sz="10" w:color="548235"/>
              <w:insideH w:val="single" w:sz="10" w:color="548235"/>
              <w:insideV w:val="single" w:sz="10" w:color="548235"/>
            </w:tcBorders>
          </w:tcPr>
          <w:p>
            <w:r>
              <w:rPr>
                <w:rFonts w:ascii="Aptos Display" w:hAnsi="Aptos Display"/>
                <w:b/>
                <w:color w:val="548235"/>
                <w:sz w:val="30"/>
              </w:rPr>
              <w:t>6. Syrma SGS</w:t>
            </w:r>
          </w:p>
        </w:tc>
      </w:tr>
    </w:tbl>
    <w:p>
      <w:pPr>
        <w:spacing w:before="140" w:after="80"/>
      </w:pPr>
      <w:r>
        <w:rPr>
          <w:rFonts w:ascii="Aptos Display" w:hAnsi="Aptos Display"/>
          <w:b/>
          <w:color w:val="2F75B5"/>
          <w:sz w:val="24"/>
        </w:rPr>
        <w:t>Rules / practices clearly followed</w:t>
      </w:r>
    </w:p>
    <w:p>
      <w:pPr>
        <w:spacing w:after="40"/>
        <w:ind w:left="259" w:hanging="202"/>
      </w:pPr>
      <w:r>
        <w:rPr>
          <w:b/>
          <w:color w:val="2F75B5"/>
        </w:rPr>
        <w:t xml:space="preserve">✓ </w:t>
      </w:r>
      <w:r>
        <w:rPr>
          <w:rFonts w:ascii="Aptos" w:hAnsi="Aptos"/>
          <w:color w:val="548235"/>
          <w:sz w:val="20"/>
        </w:rPr>
        <w:t>A dedicated EPR compliance mechanism is publicly described.</w:t>
      </w:r>
    </w:p>
    <w:p>
      <w:pPr>
        <w:spacing w:after="40"/>
        <w:ind w:left="259" w:hanging="202"/>
      </w:pPr>
      <w:r>
        <w:rPr>
          <w:b/>
          <w:color w:val="2F75B5"/>
        </w:rPr>
        <w:t xml:space="preserve">✓ </w:t>
      </w:r>
      <w:r>
        <w:rPr>
          <w:rFonts w:ascii="Aptos" w:hAnsi="Aptos"/>
          <w:color w:val="548235"/>
          <w:sz w:val="20"/>
        </w:rPr>
        <w:t>An authorized dismantler/recycler is used for e-waste management.</w:t>
      </w:r>
    </w:p>
    <w:p>
      <w:pPr>
        <w:spacing w:after="40"/>
        <w:ind w:left="259" w:hanging="202"/>
      </w:pPr>
      <w:r>
        <w:rPr>
          <w:b/>
          <w:color w:val="2F75B5"/>
        </w:rPr>
        <w:t xml:space="preserve">✓ </w:t>
      </w:r>
      <w:r>
        <w:rPr>
          <w:rFonts w:ascii="Aptos" w:hAnsi="Aptos"/>
          <w:color w:val="548235"/>
          <w:sz w:val="20"/>
        </w:rPr>
        <w:t>Collection points are provided for e-waste.</w:t>
      </w:r>
    </w:p>
    <w:p>
      <w:pPr>
        <w:spacing w:after="40"/>
        <w:ind w:left="259" w:hanging="202"/>
      </w:pPr>
      <w:r>
        <w:rPr>
          <w:b/>
          <w:color w:val="2F75B5"/>
        </w:rPr>
        <w:t xml:space="preserve">✓ </w:t>
      </w:r>
      <w:r>
        <w:rPr>
          <w:rFonts w:ascii="Aptos" w:hAnsi="Aptos"/>
          <w:color w:val="548235"/>
          <w:sz w:val="20"/>
        </w:rPr>
        <w:t>Collection, transportation, storage, segregation, dismantling and recycling are addressed.</w:t>
      </w:r>
    </w:p>
    <w:p>
      <w:pPr>
        <w:spacing w:after="40"/>
        <w:ind w:left="259" w:hanging="202"/>
      </w:pPr>
      <w:r>
        <w:rPr>
          <w:b/>
          <w:color w:val="2F75B5"/>
        </w:rPr>
        <w:t xml:space="preserve">✓ </w:t>
      </w:r>
      <w:r>
        <w:rPr>
          <w:rFonts w:ascii="Aptos" w:hAnsi="Aptos"/>
          <w:color w:val="548235"/>
          <w:sz w:val="20"/>
        </w:rPr>
        <w:t>Customers are directed toward formal/authorized e-waste channels rather than informal scrap dealers.</w:t>
      </w:r>
    </w:p>
    <w:p>
      <w:pPr>
        <w:spacing w:after="40"/>
        <w:ind w:left="259" w:hanging="202"/>
      </w:pPr>
      <w:r>
        <w:rPr>
          <w:b/>
          <w:color w:val="2F75B5"/>
        </w:rPr>
        <w:t xml:space="preserve">✓ </w:t>
      </w:r>
      <w:r>
        <w:rPr>
          <w:rFonts w:ascii="Aptos" w:hAnsi="Aptos"/>
          <w:color w:val="548235"/>
          <w:sz w:val="20"/>
        </w:rPr>
        <w:t>RoHS/environmental compliance is addressed in company disclosures.</w:t>
      </w:r>
    </w:p>
    <w:p>
      <w:pPr>
        <w:spacing w:before="140" w:after="80"/>
      </w:pPr>
      <w:r>
        <w:rPr>
          <w:rFonts w:ascii="Aptos Display" w:hAnsi="Aptos Display"/>
          <w:b/>
          <w:color w:val="2F75B5"/>
          <w:sz w:val="24"/>
        </w:rPr>
        <w:t>Not followed / not publicly verified</w:t>
      </w:r>
    </w:p>
    <w:p>
      <w:pPr>
        <w:spacing w:after="40"/>
        <w:ind w:left="259" w:hanging="202"/>
      </w:pPr>
      <w:r>
        <w:rPr>
          <w:b/>
          <w:color w:val="2F75B5"/>
        </w:rPr>
        <w:t xml:space="preserve">⚠ </w:t>
      </w:r>
      <w:r>
        <w:rPr>
          <w:rFonts w:ascii="Aptos" w:hAnsi="Aptos"/>
          <w:color w:val="9C6500"/>
          <w:sz w:val="20"/>
        </w:rPr>
        <w:t>Exact EPR certificate transactions and yearly target achievement were not independently verified.</w:t>
      </w:r>
    </w:p>
    <w:p>
      <w:pPr>
        <w:spacing w:after="40"/>
        <w:ind w:left="259" w:hanging="202"/>
      </w:pPr>
      <w:r>
        <w:rPr>
          <w:b/>
          <w:color w:val="2F75B5"/>
        </w:rPr>
        <w:t xml:space="preserve">⚠ </w:t>
      </w:r>
      <w:r>
        <w:rPr>
          <w:rFonts w:ascii="Aptos" w:hAnsi="Aptos"/>
          <w:color w:val="9C6500"/>
          <w:sz w:val="20"/>
        </w:rPr>
        <w:t>Complete quarterly return records were not publicly available.</w:t>
      </w:r>
    </w:p>
    <w:tbl>
      <w:tblPr>
        <w:tblW w:type="auto" w:w="0"/>
        <w:jc w:val="center"/>
        <w:tblLook w:firstColumn="1" w:firstRow="1" w:lastColumn="0" w:lastRow="0" w:noHBand="0" w:noVBand="1" w:val="04A0"/>
      </w:tblPr>
      <w:tblGrid>
        <w:gridCol w:w="10224"/>
      </w:tblGrid>
      <w:tr>
        <w:tc>
          <w:tcPr>
            <w:tcW w:type="dxa" w:w="10224"/>
            <w:shd w:fill="E2F0D9"/>
            <w:tcBorders>
              <w:top w:val="single" w:sz="8" w:color="E6D18A"/>
              <w:left w:val="single" w:sz="8" w:color="E6D18A"/>
              <w:bottom w:val="single" w:sz="8" w:color="E6D18A"/>
              <w:right w:val="single" w:sz="8" w:color="E6D18A"/>
              <w:insideH w:val="single" w:sz="8" w:color="E6D18A"/>
              <w:insideV w:val="single" w:sz="8" w:color="E6D18A"/>
            </w:tcBorders>
          </w:tcPr>
          <w:p>
            <w:pPr>
              <w:spacing w:after="0"/>
            </w:pPr>
            <w:r>
              <w:rPr>
                <w:rFonts w:ascii="Aptos" w:hAnsi="Aptos"/>
                <w:color w:val="222222"/>
                <w:sz w:val="18"/>
              </w:rPr>
              <w:t>Overall assessment: Strong and clearly documented compliance evidence; no confirmed violation identified.</w:t>
            </w:r>
          </w:p>
        </w:tc>
      </w:tr>
    </w:tbl>
    <w:p/>
    <w:tbl>
      <w:tblPr>
        <w:tblW w:type="auto" w:w="0"/>
        <w:jc w:val="center"/>
        <w:tblLook w:firstColumn="1" w:firstRow="1" w:lastColumn="0" w:lastRow="0" w:noHBand="0" w:noVBand="1" w:val="04A0"/>
      </w:tblPr>
      <w:tblGrid>
        <w:gridCol w:w="10224"/>
      </w:tblGrid>
      <w:tr>
        <w:tc>
          <w:tcPr>
            <w:tcW w:type="dxa" w:w="10224"/>
            <w:shd w:fill="D9EAF7"/>
            <w:tcBorders>
              <w:top w:val="single" w:sz="10" w:color="2F75B5"/>
              <w:left w:val="single" w:sz="10" w:color="2F75B5"/>
              <w:bottom w:val="single" w:sz="10" w:color="2F75B5"/>
              <w:right w:val="single" w:sz="10" w:color="2F75B5"/>
              <w:insideH w:val="single" w:sz="10" w:color="2F75B5"/>
              <w:insideV w:val="single" w:sz="10" w:color="2F75B5"/>
            </w:tcBorders>
          </w:tcPr>
          <w:p>
            <w:r>
              <w:rPr>
                <w:rFonts w:ascii="Aptos Display" w:hAnsi="Aptos Display"/>
                <w:b/>
                <w:color w:val="2F75B5"/>
                <w:sz w:val="30"/>
              </w:rPr>
              <w:t>7. Foxconn</w:t>
            </w:r>
          </w:p>
        </w:tc>
      </w:tr>
    </w:tbl>
    <w:p>
      <w:pPr>
        <w:spacing w:before="140" w:after="80"/>
      </w:pPr>
      <w:r>
        <w:rPr>
          <w:rFonts w:ascii="Aptos Display" w:hAnsi="Aptos Display"/>
          <w:b/>
          <w:color w:val="2F75B5"/>
          <w:sz w:val="24"/>
        </w:rPr>
        <w:t>Rules / practices clearly followed</w:t>
      </w:r>
    </w:p>
    <w:p>
      <w:pPr>
        <w:spacing w:after="40"/>
        <w:ind w:left="259" w:hanging="202"/>
      </w:pPr>
      <w:r>
        <w:rPr>
          <w:b/>
          <w:color w:val="2F75B5"/>
        </w:rPr>
        <w:t xml:space="preserve">✓ </w:t>
      </w:r>
      <w:r>
        <w:rPr>
          <w:rFonts w:ascii="Aptos" w:hAnsi="Aptos"/>
          <w:color w:val="2F75B5"/>
          <w:sz w:val="20"/>
        </w:rPr>
        <w:t>Formal environmental and waste-management systems are reported.</w:t>
      </w:r>
    </w:p>
    <w:p>
      <w:pPr>
        <w:spacing w:after="40"/>
        <w:ind w:left="259" w:hanging="202"/>
      </w:pPr>
      <w:r>
        <w:rPr>
          <w:b/>
          <w:color w:val="2F75B5"/>
        </w:rPr>
        <w:t xml:space="preserve">✓ </w:t>
      </w:r>
      <w:r>
        <w:rPr>
          <w:rFonts w:ascii="Aptos" w:hAnsi="Aptos"/>
          <w:color w:val="2F75B5"/>
          <w:sz w:val="20"/>
        </w:rPr>
        <w:t>Waste reduction and recycling initiatives are implemented.</w:t>
      </w:r>
    </w:p>
    <w:p>
      <w:pPr>
        <w:spacing w:after="40"/>
        <w:ind w:left="259" w:hanging="202"/>
      </w:pPr>
      <w:r>
        <w:rPr>
          <w:b/>
          <w:color w:val="2F75B5"/>
        </w:rPr>
        <w:t xml:space="preserve">✓ </w:t>
      </w:r>
      <w:r>
        <w:rPr>
          <w:rFonts w:ascii="Aptos" w:hAnsi="Aptos"/>
          <w:color w:val="2F75B5"/>
          <w:sz w:val="20"/>
        </w:rPr>
        <w:t>Hazardous-substance controls such as RoHS/REACH-related requirements are addressed at group level.</w:t>
      </w:r>
    </w:p>
    <w:p>
      <w:pPr>
        <w:spacing w:after="40"/>
        <w:ind w:left="259" w:hanging="202"/>
      </w:pPr>
      <w:r>
        <w:rPr>
          <w:b/>
          <w:color w:val="2F75B5"/>
        </w:rPr>
        <w:t xml:space="preserve">✓ </w:t>
      </w:r>
      <w:r>
        <w:rPr>
          <w:rFonts w:ascii="Aptos" w:hAnsi="Aptos"/>
          <w:color w:val="2F75B5"/>
          <w:sz w:val="20"/>
        </w:rPr>
        <w:t>Environmental monitoring and audit mechanisms are reported.</w:t>
      </w:r>
    </w:p>
    <w:p>
      <w:pPr>
        <w:spacing w:before="140" w:after="80"/>
      </w:pPr>
      <w:r>
        <w:rPr>
          <w:rFonts w:ascii="Aptos Display" w:hAnsi="Aptos Display"/>
          <w:b/>
          <w:color w:val="2F75B5"/>
          <w:sz w:val="24"/>
        </w:rPr>
        <w:t>Not followed / not publicly verified</w:t>
      </w:r>
    </w:p>
    <w:p>
      <w:pPr>
        <w:spacing w:after="40"/>
        <w:ind w:left="259" w:hanging="202"/>
      </w:pPr>
      <w:r>
        <w:rPr>
          <w:b/>
          <w:color w:val="2F75B5"/>
        </w:rPr>
        <w:t xml:space="preserve">⚠ </w:t>
      </w:r>
      <w:r>
        <w:rPr>
          <w:rFonts w:ascii="Aptos" w:hAnsi="Aptos"/>
          <w:color w:val="9C6500"/>
          <w:sz w:val="20"/>
        </w:rPr>
        <w:t>India-specific EPR registration could not be independently verified from the public information reviewed.</w:t>
      </w:r>
    </w:p>
    <w:p>
      <w:pPr>
        <w:spacing w:after="40"/>
        <w:ind w:left="259" w:hanging="202"/>
      </w:pPr>
      <w:r>
        <w:rPr>
          <w:b/>
          <w:color w:val="2F75B5"/>
        </w:rPr>
        <w:t xml:space="preserve">⚠ </w:t>
      </w:r>
      <w:r>
        <w:rPr>
          <w:rFonts w:ascii="Aptos" w:hAnsi="Aptos"/>
          <w:color w:val="9C6500"/>
          <w:sz w:val="20"/>
        </w:rPr>
        <w:t>India-specific EPR certificates, targets and quarterly returns were not sufficiently disclosed for independent verification.</w:t>
      </w:r>
    </w:p>
    <w:tbl>
      <w:tblPr>
        <w:tblW w:type="auto" w:w="0"/>
        <w:jc w:val="center"/>
        <w:tblLook w:firstColumn="1" w:firstRow="1" w:lastColumn="0" w:lastRow="0" w:noHBand="0" w:noVBand="1" w:val="04A0"/>
      </w:tblPr>
      <w:tblGrid>
        <w:gridCol w:w="10224"/>
      </w:tblGrid>
      <w:tr>
        <w:tc>
          <w:tcPr>
            <w:tcW w:type="dxa" w:w="10224"/>
            <w:shd w:fill="E2F0D9"/>
            <w:tcBorders>
              <w:top w:val="single" w:sz="8" w:color="E6D18A"/>
              <w:left w:val="single" w:sz="8" w:color="E6D18A"/>
              <w:bottom w:val="single" w:sz="8" w:color="E6D18A"/>
              <w:right w:val="single" w:sz="8" w:color="E6D18A"/>
              <w:insideH w:val="single" w:sz="8" w:color="E6D18A"/>
              <w:insideV w:val="single" w:sz="8" w:color="E6D18A"/>
            </w:tcBorders>
          </w:tcPr>
          <w:p>
            <w:pPr>
              <w:spacing w:after="0"/>
            </w:pPr>
            <w:r>
              <w:rPr>
                <w:rFonts w:ascii="Aptos" w:hAnsi="Aptos"/>
                <w:color w:val="222222"/>
                <w:sz w:val="18"/>
              </w:rPr>
              <w:t>Overall assessment: Strong environmental management evidence, but India-specific EPR documentation is not fully publicly verifiable.</w:t>
            </w:r>
          </w:p>
        </w:tc>
      </w:tr>
    </w:tbl>
    <w:p/>
    <w:tbl>
      <w:tblPr>
        <w:tblW w:type="auto" w:w="0"/>
        <w:jc w:val="center"/>
        <w:tblLook w:firstColumn="1" w:firstRow="1" w:lastColumn="0" w:lastRow="0" w:noHBand="0" w:noVBand="1" w:val="04A0"/>
      </w:tblPr>
      <w:tblGrid>
        <w:gridCol w:w="10224"/>
      </w:tblGrid>
      <w:tr>
        <w:tc>
          <w:tcPr>
            <w:tcW w:type="dxa" w:w="10224"/>
            <w:shd w:fill="E2F0D9"/>
            <w:tcBorders>
              <w:top w:val="single" w:sz="10" w:color="548235"/>
              <w:left w:val="single" w:sz="10" w:color="548235"/>
              <w:bottom w:val="single" w:sz="10" w:color="548235"/>
              <w:right w:val="single" w:sz="10" w:color="548235"/>
              <w:insideH w:val="single" w:sz="10" w:color="548235"/>
              <w:insideV w:val="single" w:sz="10" w:color="548235"/>
            </w:tcBorders>
          </w:tcPr>
          <w:p>
            <w:r>
              <w:rPr>
                <w:rFonts w:ascii="Aptos Display" w:hAnsi="Aptos Display"/>
                <w:b/>
                <w:color w:val="548235"/>
                <w:sz w:val="30"/>
              </w:rPr>
              <w:t>8. Centum Electronics</w:t>
            </w:r>
          </w:p>
        </w:tc>
      </w:tr>
    </w:tbl>
    <w:p>
      <w:pPr>
        <w:spacing w:before="140" w:after="80"/>
      </w:pPr>
      <w:r>
        <w:rPr>
          <w:rFonts w:ascii="Aptos Display" w:hAnsi="Aptos Display"/>
          <w:b/>
          <w:color w:val="2F75B5"/>
          <w:sz w:val="24"/>
        </w:rPr>
        <w:t>Rules / practices clearly followed</w:t>
      </w:r>
    </w:p>
    <w:p>
      <w:pPr>
        <w:spacing w:after="40"/>
        <w:ind w:left="259" w:hanging="202"/>
      </w:pPr>
      <w:r>
        <w:rPr>
          <w:b/>
          <w:color w:val="2F75B5"/>
        </w:rPr>
        <w:t xml:space="preserve">✓ </w:t>
      </w:r>
      <w:r>
        <w:rPr>
          <w:rFonts w:ascii="Aptos" w:hAnsi="Aptos"/>
          <w:color w:val="548235"/>
          <w:sz w:val="20"/>
        </w:rPr>
        <w:t>E-waste is collected and managed through an established waste-management system.</w:t>
      </w:r>
    </w:p>
    <w:p>
      <w:pPr>
        <w:spacing w:after="40"/>
        <w:ind w:left="259" w:hanging="202"/>
      </w:pPr>
      <w:r>
        <w:rPr>
          <w:b/>
          <w:color w:val="2F75B5"/>
        </w:rPr>
        <w:t xml:space="preserve">✓ </w:t>
      </w:r>
      <w:r>
        <w:rPr>
          <w:rFonts w:ascii="Aptos" w:hAnsi="Aptos"/>
          <w:color w:val="548235"/>
          <w:sz w:val="20"/>
        </w:rPr>
        <w:t>Waste segregation and storage are addressed.</w:t>
      </w:r>
    </w:p>
    <w:p>
      <w:pPr>
        <w:spacing w:after="40"/>
        <w:ind w:left="259" w:hanging="202"/>
      </w:pPr>
      <w:r>
        <w:rPr>
          <w:b/>
          <w:color w:val="2F75B5"/>
        </w:rPr>
        <w:t xml:space="preserve">✓ </w:t>
      </w:r>
      <w:r>
        <w:rPr>
          <w:rFonts w:ascii="Aptos" w:hAnsi="Aptos"/>
          <w:color w:val="548235"/>
          <w:sz w:val="20"/>
        </w:rPr>
        <w:t>E-waste is disposed/recycled through an approved e-waste recycler.</w:t>
      </w:r>
    </w:p>
    <w:p>
      <w:pPr>
        <w:spacing w:after="40"/>
        <w:ind w:left="259" w:hanging="202"/>
      </w:pPr>
      <w:r>
        <w:rPr>
          <w:b/>
          <w:color w:val="2F75B5"/>
        </w:rPr>
        <w:t xml:space="preserve">✓ </w:t>
      </w:r>
      <w:r>
        <w:rPr>
          <w:rFonts w:ascii="Aptos" w:hAnsi="Aptos"/>
          <w:color w:val="548235"/>
          <w:sz w:val="20"/>
        </w:rPr>
        <w:t>Recycling/reuse of waste is reported.</w:t>
      </w:r>
    </w:p>
    <w:p>
      <w:pPr>
        <w:spacing w:after="40"/>
        <w:ind w:left="259" w:hanging="202"/>
      </w:pPr>
      <w:r>
        <w:rPr>
          <w:b/>
          <w:color w:val="2F75B5"/>
        </w:rPr>
        <w:t xml:space="preserve">✓ </w:t>
      </w:r>
      <w:r>
        <w:rPr>
          <w:rFonts w:ascii="Aptos" w:hAnsi="Aptos"/>
          <w:color w:val="548235"/>
          <w:sz w:val="20"/>
        </w:rPr>
        <w:t>RoHS compliance is stated among company certifications.</w:t>
      </w:r>
    </w:p>
    <w:p>
      <w:pPr>
        <w:spacing w:before="140" w:after="80"/>
      </w:pPr>
      <w:r>
        <w:rPr>
          <w:rFonts w:ascii="Aptos Display" w:hAnsi="Aptos Display"/>
          <w:b/>
          <w:color w:val="2F75B5"/>
          <w:sz w:val="24"/>
        </w:rPr>
        <w:t>Not followed / not publicly verified</w:t>
      </w:r>
    </w:p>
    <w:p>
      <w:pPr>
        <w:spacing w:after="40"/>
        <w:ind w:left="259" w:hanging="202"/>
      </w:pPr>
      <w:r>
        <w:rPr>
          <w:b/>
          <w:color w:val="2F75B5"/>
        </w:rPr>
        <w:t xml:space="preserve">⚠ </w:t>
      </w:r>
      <w:r>
        <w:rPr>
          <w:rFonts w:ascii="Aptos" w:hAnsi="Aptos"/>
          <w:color w:val="9C6500"/>
          <w:sz w:val="20"/>
        </w:rPr>
        <w:t>The company's disclosure reports EPR as 'Not Applicable' to its activities; therefore producer-specific EPR requirements were not treated as a violation.</w:t>
      </w:r>
    </w:p>
    <w:p>
      <w:pPr>
        <w:spacing w:after="40"/>
        <w:ind w:left="259" w:hanging="202"/>
      </w:pPr>
      <w:r>
        <w:rPr>
          <w:b/>
          <w:color w:val="2F75B5"/>
        </w:rPr>
        <w:t xml:space="preserve">⚠ </w:t>
      </w:r>
      <w:r>
        <w:rPr>
          <w:rFonts w:ascii="Aptos" w:hAnsi="Aptos"/>
          <w:color w:val="9C6500"/>
          <w:sz w:val="20"/>
        </w:rPr>
        <w:t>Detailed producer EPR certificate/return records were not assessed as applicable.</w:t>
      </w:r>
    </w:p>
    <w:tbl>
      <w:tblPr>
        <w:tblW w:type="auto" w:w="0"/>
        <w:jc w:val="center"/>
        <w:tblLook w:firstColumn="1" w:firstRow="1" w:lastColumn="0" w:lastRow="0" w:noHBand="0" w:noVBand="1" w:val="04A0"/>
      </w:tblPr>
      <w:tblGrid>
        <w:gridCol w:w="10224"/>
      </w:tblGrid>
      <w:tr>
        <w:tc>
          <w:tcPr>
            <w:tcW w:type="dxa" w:w="10224"/>
            <w:shd w:fill="E2F0D9"/>
            <w:tcBorders>
              <w:top w:val="single" w:sz="8" w:color="E6D18A"/>
              <w:left w:val="single" w:sz="8" w:color="E6D18A"/>
              <w:bottom w:val="single" w:sz="8" w:color="E6D18A"/>
              <w:right w:val="single" w:sz="8" w:color="E6D18A"/>
              <w:insideH w:val="single" w:sz="8" w:color="E6D18A"/>
              <w:insideV w:val="single" w:sz="8" w:color="E6D18A"/>
            </w:tcBorders>
          </w:tcPr>
          <w:p>
            <w:pPr>
              <w:spacing w:after="0"/>
            </w:pPr>
            <w:r>
              <w:rPr>
                <w:rFonts w:ascii="Aptos" w:hAnsi="Aptos"/>
                <w:color w:val="222222"/>
                <w:sz w:val="18"/>
              </w:rPr>
              <w:t>Overall assessment: Good operational e-waste-management evidence; EPR is reported as not applicable by the company.</w:t>
            </w:r>
          </w:p>
        </w:tc>
      </w:tr>
    </w:tbl>
    <w:p/>
    <w:p>
      <w:pPr>
        <w:spacing w:before="200" w:after="80"/>
      </w:pPr>
      <w:r>
        <w:rPr>
          <w:rFonts w:ascii="Aptos Display" w:hAnsi="Aptos Display"/>
          <w:b/>
          <w:color w:val="17365D"/>
          <w:sz w:val="32"/>
        </w:rPr>
        <w:t>9. Final Conclusion</w:t>
      </w:r>
    </w:p>
    <w:p>
      <w:r>
        <w:t>Based on the available evidence, all five selected companies show substantial efforts toward responsible e-waste management. Syrma SGS and Dixon Technologies have comparatively clear public evidence of formal e-waste/EPR-related systems, while Kaynes Technology also reports authorized waste-management practices and relevant environmental compliance. Foxconn demonstrates strong environmental and waste-management systems, although India-specific EPR records are less publicly verifiable. Centum Electronics reports operational e-waste management and RoHS compliance and states that EPR is not applicable to its activities.</w:t>
      </w:r>
    </w:p>
    <w:tbl>
      <w:tblPr>
        <w:tblW w:type="auto" w:w="0"/>
        <w:jc w:val="center"/>
        <w:tblLook w:firstColumn="1" w:firstRow="1" w:lastColumn="0" w:lastRow="0" w:noHBand="0" w:noVBand="1" w:val="04A0"/>
      </w:tblPr>
      <w:tblGrid>
        <w:gridCol w:w="10224"/>
      </w:tblGrid>
      <w:tr>
        <w:tc>
          <w:tcPr>
            <w:tcW w:type="dxa" w:w="10224"/>
            <w:shd w:fill="FFF2CC"/>
            <w:tcBorders>
              <w:top w:val="single" w:sz="8" w:color="E6D18A"/>
              <w:left w:val="single" w:sz="8" w:color="E6D18A"/>
              <w:bottom w:val="single" w:sz="8" w:color="E6D18A"/>
              <w:right w:val="single" w:sz="8" w:color="E6D18A"/>
              <w:insideH w:val="single" w:sz="8" w:color="E6D18A"/>
              <w:insideV w:val="single" w:sz="8" w:color="E6D18A"/>
            </w:tcBorders>
          </w:tcPr>
          <w:p>
            <w:pPr>
              <w:spacing w:after="0"/>
            </w:pPr>
            <w:r>
              <w:rPr>
                <w:rFonts w:ascii="Aptos" w:hAnsi="Aptos"/>
                <w:color w:val="222222"/>
                <w:sz w:val="18"/>
              </w:rPr>
              <w:t>For an academic assignment, use the wording “not publicly verified” instead of “violated” unless there is direct evidence of a regulatory breach, enforcement action, or non-compliance finding.</w:t>
            </w:r>
          </w:p>
        </w:tc>
      </w:tr>
    </w:tbl>
    <w:p>
      <w:pPr>
        <w:spacing w:before="200" w:after="80"/>
      </w:pPr>
      <w:r>
        <w:rPr>
          <w:rFonts w:ascii="Aptos Display" w:hAnsi="Aptos Display"/>
          <w:b/>
          <w:color w:val="17365D"/>
          <w:sz w:val="32"/>
        </w:rPr>
        <w:t>10. Sources / Reference Basis</w:t>
      </w:r>
    </w:p>
    <w:p>
      <w:pPr>
        <w:spacing w:after="40"/>
        <w:ind w:left="259" w:hanging="202"/>
      </w:pPr>
      <w:r>
        <w:rPr>
          <w:b/>
          <w:color w:val="2F75B5"/>
        </w:rPr>
        <w:t xml:space="preserve">• </w:t>
      </w:r>
      <w:r>
        <w:rPr>
          <w:rFonts w:ascii="Aptos" w:hAnsi="Aptos"/>
          <w:color w:val="555555"/>
          <w:sz w:val="20"/>
        </w:rPr>
        <w:t>Central Pollution Control Board (CPCB), “Frequently Asked Questions (FAQ) under E-Waste (Management) Rules, 2022”, January 23, 2024 — uploaded PDF provided for this analysis.</w:t>
      </w:r>
    </w:p>
    <w:p>
      <w:pPr>
        <w:spacing w:after="40"/>
        <w:ind w:left="259" w:hanging="202"/>
      </w:pPr>
      <w:r>
        <w:rPr>
          <w:b/>
          <w:color w:val="2F75B5"/>
        </w:rPr>
        <w:t xml:space="preserve">• </w:t>
      </w:r>
      <w:r>
        <w:rPr>
          <w:rFonts w:ascii="Aptos" w:hAnsi="Aptos"/>
          <w:color w:val="555555"/>
          <w:sz w:val="20"/>
        </w:rPr>
        <w:t>Company annual reports, sustainability disclosures and public environmental/EPR compliance information reviewed for Dixon Technologies, Kaynes Technology, Syrma SGS, Foxconn and Centum Electronics.</w:t>
      </w:r>
    </w:p>
    <w:p>
      <w:pPr>
        <w:spacing w:after="40"/>
        <w:ind w:left="259" w:hanging="202"/>
      </w:pPr>
      <w:r>
        <w:rPr>
          <w:b/>
          <w:color w:val="2F75B5"/>
        </w:rPr>
        <w:t xml:space="preserve">• </w:t>
      </w:r>
      <w:r>
        <w:rPr>
          <w:rFonts w:ascii="Aptos" w:hAnsi="Aptos"/>
          <w:color w:val="555555"/>
          <w:sz w:val="20"/>
        </w:rPr>
        <w:t>The company-specific observations in this report are based on publicly disclosed information and should not be interpreted as an official CPCB compliance audit.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E-Waste Management Rules – Company Compliance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9E45BCADE012848BADD84F0F5519C36" ma:contentTypeVersion="13" ma:contentTypeDescription="Create a new document." ma:contentTypeScope="" ma:versionID="749d6923f222eb45ac0dc6063575a178">
  <xsd:schema xmlns:xsd="http://www.w3.org/2001/XMLSchema" xmlns:xs="http://www.w3.org/2001/XMLSchema" xmlns:p="http://schemas.microsoft.com/office/2006/metadata/properties" xmlns:ns2="c49d017b-ac22-4c0b-a7a4-c8b9eca6cd70" xmlns:ns3="e0d206d7-ee7c-42da-b133-6e7342787b39" targetNamespace="http://schemas.microsoft.com/office/2006/metadata/properties" ma:root="true" ma:fieldsID="e99e7a50f06ef0e0bf1d9a36c1212498" ns2:_="" ns3:_="">
    <xsd:import namespace="c49d017b-ac22-4c0b-a7a4-c8b9eca6cd70"/>
    <xsd:import namespace="e0d206d7-ee7c-42da-b133-6e7342787b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9d017b-ac22-4c0b-a7a4-c8b9eca6cd7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0d206d7-ee7c-42da-b133-6e7342787b3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5d6c0a8-0dd6-40f9-b8c8-aca075772b73}" ma:internalName="TaxCatchAll" ma:showField="CatchAllData" ma:web="e0d206d7-ee7c-42da-b133-6e7342787b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49d017b-ac22-4c0b-a7a4-c8b9eca6cd70">
      <Terms xmlns="http://schemas.microsoft.com/office/infopath/2007/PartnerControls"/>
    </lcf76f155ced4ddcb4097134ff3c332f>
    <TaxCatchAll xmlns="e0d206d7-ee7c-42da-b133-6e7342787b39" xsi:nil="true"/>
    <ReferenceId xmlns="c49d017b-ac22-4c0b-a7a4-c8b9eca6cd7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E290BDE-D2DE-46C5-A3E1-A67C5BB9FE82}"/>
</file>

<file path=customXml/itemProps3.xml><?xml version="1.0" encoding="utf-8"?>
<ds:datastoreItem xmlns:ds="http://schemas.openxmlformats.org/officeDocument/2006/customXml" ds:itemID="{E6CDA9EB-AC7F-4B68-A483-7433B3CC0479}"/>
</file>

<file path=customXml/itemProps4.xml><?xml version="1.0" encoding="utf-8"?>
<ds:datastoreItem xmlns:ds="http://schemas.openxmlformats.org/officeDocument/2006/customXml" ds:itemID="{FBB1D813-30F2-461F-9C11-7CE072FFF76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0x01010029E45BCADE012848BADD84F0F5519C36</vt:lpwstr>
  </property>
</Properties>
</file>