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e8cf878183a2373536878e79d30a1412fa4418"/>
    <w:p>
      <w:pPr>
        <w:pStyle w:val="Heading1"/>
      </w:pPr>
      <w:r>
        <w:t xml:space="preserve">Replit AI Prompt — Phase 27: AI Model Orchestration &amp; Agent System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AI Systems Architect</w:t>
      </w:r>
    </w:p>
    <w:p>
      <w:pPr>
        <w:pStyle w:val="Compact"/>
        <w:numPr>
          <w:ilvl w:val="0"/>
          <w:numId w:val="1001"/>
        </w:numPr>
      </w:pPr>
      <w:r>
        <w:t xml:space="preserve">Multi-Agent AI Engineer</w:t>
      </w:r>
    </w:p>
    <w:p>
      <w:pPr>
        <w:pStyle w:val="Compact"/>
        <w:numPr>
          <w:ilvl w:val="0"/>
          <w:numId w:val="1001"/>
        </w:numPr>
      </w:pPr>
      <w:r>
        <w:t xml:space="preserve">LLM Infrastructure Engineer</w:t>
      </w:r>
    </w:p>
    <w:p>
      <w:pPr>
        <w:pStyle w:val="Compact"/>
        <w:numPr>
          <w:ilvl w:val="0"/>
          <w:numId w:val="1001"/>
        </w:numPr>
      </w:pPr>
      <w:r>
        <w:t xml:space="preserve">Financial Intelligence Architect</w:t>
      </w:r>
    </w:p>
    <w:p>
      <w:pPr>
        <w:pStyle w:val="Compact"/>
        <w:numPr>
          <w:ilvl w:val="0"/>
          <w:numId w:val="1001"/>
        </w:numPr>
      </w:pPr>
      <w:r>
        <w:t xml:space="preserve">Distributed Systems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AI Safety Specialist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Model Orchestration &amp; Agent System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purpose of this system is to coordinate multiple specialized AI agents that work together to understand, explain, and teach market behavior.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One AI model should not handle every responsibility.</w:t>
      </w:r>
    </w:p>
    <w:p>
      <w:pPr>
        <w:pStyle w:val="BodyText"/>
      </w:pPr>
      <w:r>
        <w:t xml:space="preserve">Different tasks require different expertise.</w:t>
      </w:r>
    </w:p>
    <w:p>
      <w:pPr>
        <w:pStyle w:val="BodyText"/>
      </w:pPr>
      <w:r>
        <w:t xml:space="preserve">MLAI should operate like a professional research team.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Technical Analyst:</w:t>
      </w:r>
    </w:p>
    <w:p>
      <w:pPr>
        <w:pStyle w:val="BodyText"/>
      </w:pPr>
      <w:r>
        <w:t xml:space="preserve">“What is price structure showing?”</w:t>
      </w:r>
    </w:p>
    <w:p>
      <w:pPr>
        <w:pStyle w:val="BodyText"/>
      </w:pPr>
      <w:r>
        <w:t xml:space="preserve">Psychology Analyst:</w:t>
      </w:r>
    </w:p>
    <w:p>
      <w:pPr>
        <w:pStyle w:val="BodyText"/>
      </w:pPr>
      <w:r>
        <w:t xml:space="preserve">“What are participants doing?”</w:t>
      </w:r>
    </w:p>
    <w:p>
      <w:pPr>
        <w:pStyle w:val="BodyText"/>
      </w:pPr>
      <w:r>
        <w:t xml:space="preserve">Historian:</w:t>
      </w:r>
    </w:p>
    <w:p>
      <w:pPr>
        <w:pStyle w:val="BodyText"/>
      </w:pPr>
      <w:r>
        <w:t xml:space="preserve">“Have we seen similar situations?”</w:t>
      </w:r>
    </w:p>
    <w:p>
      <w:pPr>
        <w:pStyle w:val="BodyText"/>
      </w:pPr>
      <w:r>
        <w:t xml:space="preserve">Risk Analyst:</w:t>
      </w:r>
    </w:p>
    <w:p>
      <w:pPr>
        <w:pStyle w:val="BodyText"/>
      </w:pPr>
      <w:r>
        <w:t xml:space="preserve">“What uncertainty exists?”</w:t>
      </w:r>
    </w:p>
    <w:p>
      <w:pPr>
        <w:pStyle w:val="BodyText"/>
      </w:pPr>
      <w:r>
        <w:t xml:space="preserve">Teacher:</w:t>
      </w:r>
    </w:p>
    <w:p>
      <w:pPr>
        <w:pStyle w:val="BodyText"/>
      </w:pPr>
      <w:r>
        <w:t xml:space="preserve">“How should this be explained?”</w:t>
      </w:r>
    </w:p>
    <w:p>
      <w:pPr>
        <w:pStyle w:val="BodyText"/>
      </w:pPr>
      <w:r>
        <w:t xml:space="preserve">Final AI:</w:t>
      </w:r>
    </w:p>
    <w:p>
      <w:pPr>
        <w:pStyle w:val="BodyText"/>
      </w:pPr>
      <w:r>
        <w:t xml:space="preserve">“Combine everything into one understandable explanation.”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AI orchestration layer that manages:</w:t>
      </w:r>
    </w:p>
    <w:p>
      <w:pPr>
        <w:pStyle w:val="Compact"/>
        <w:numPr>
          <w:ilvl w:val="0"/>
          <w:numId w:val="1002"/>
        </w:numPr>
      </w:pPr>
      <w:r>
        <w:t xml:space="preserve">Multiple AI agents</w:t>
      </w:r>
    </w:p>
    <w:p>
      <w:pPr>
        <w:pStyle w:val="Compact"/>
        <w:numPr>
          <w:ilvl w:val="0"/>
          <w:numId w:val="1002"/>
        </w:numPr>
      </w:pPr>
      <w:r>
        <w:t xml:space="preserve">Agent communication</w:t>
      </w:r>
    </w:p>
    <w:p>
      <w:pPr>
        <w:pStyle w:val="Compact"/>
        <w:numPr>
          <w:ilvl w:val="0"/>
          <w:numId w:val="1002"/>
        </w:numPr>
      </w:pPr>
      <w:r>
        <w:t xml:space="preserve">Task assignment</w:t>
      </w:r>
    </w:p>
    <w:p>
      <w:pPr>
        <w:pStyle w:val="Compact"/>
        <w:numPr>
          <w:ilvl w:val="0"/>
          <w:numId w:val="1002"/>
        </w:numPr>
      </w:pPr>
      <w:r>
        <w:t xml:space="preserve">Reasoning aggregation</w:t>
      </w:r>
    </w:p>
    <w:p>
      <w:pPr>
        <w:pStyle w:val="Compact"/>
        <w:numPr>
          <w:ilvl w:val="0"/>
          <w:numId w:val="1002"/>
        </w:numPr>
      </w:pPr>
      <w:r>
        <w:t xml:space="preserve">Quality control</w:t>
      </w:r>
    </w:p>
    <w:p>
      <w:pPr>
        <w:pStyle w:val="Compact"/>
        <w:numPr>
          <w:ilvl w:val="0"/>
          <w:numId w:val="1002"/>
        </w:numPr>
      </w:pPr>
      <w:r>
        <w:t xml:space="preserve">Final response generation</w:t>
      </w:r>
    </w:p>
    <w:p>
      <w:r>
        <w:pict>
          <v:rect style="width:0;height:1.5pt" o:hralign="center" o:hrstd="t" o:hr="t"/>
        </w:pict>
      </w:r>
    </w:p>
    <w:bookmarkEnd w:id="12"/>
    <w:bookmarkStart w:id="13" w:name="agent-architecture"/>
    <w:p>
      <w:pPr>
        <w:pStyle w:val="Heading1"/>
      </w:pPr>
      <w:r>
        <w:t xml:space="preserve">Agent Architecture</w:t>
      </w:r>
    </w:p>
    <w:p>
      <w:pPr>
        <w:pStyle w:val="FirstParagraph"/>
      </w:pPr>
      <w:r>
        <w:t xml:space="preserve">Main system:</w:t>
      </w:r>
    </w:p>
    <w:p>
      <w:pPr>
        <w:pStyle w:val="BodyText"/>
      </w:pPr>
      <w:r>
        <w:t xml:space="preserve">User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Specialized Agents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Explanation</w:t>
      </w:r>
    </w:p>
    <w:p>
      <w:r>
        <w:pict>
          <v:rect style="width:0;height:1.5pt" o:hralign="center" o:hrstd="t" o:hr="t"/>
        </w:pict>
      </w:r>
    </w:p>
    <w:bookmarkEnd w:id="13"/>
    <w:bookmarkStart w:id="14" w:name="core-mlai-agents"/>
    <w:p>
      <w:pPr>
        <w:pStyle w:val="Heading1"/>
      </w:pPr>
      <w:r>
        <w:t xml:space="preserve">Core MLAI Agents</w:t>
      </w:r>
    </w:p>
    <w:p>
      <w:r>
        <w:pict>
          <v:rect style="width:0;height:1.5pt" o:hralign="center" o:hrstd="t" o:hr="t"/>
        </w:pict>
      </w:r>
    </w:p>
    <w:bookmarkEnd w:id="14"/>
    <w:bookmarkStart w:id="15" w:name="chart-analysis-agent"/>
    <w:p>
      <w:pPr>
        <w:pStyle w:val="Heading1"/>
      </w:pPr>
      <w:r>
        <w:t xml:space="preserve">1. Chart Analysis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Analyze:</w:t>
      </w:r>
    </w:p>
    <w:p>
      <w:pPr>
        <w:pStyle w:val="Compact"/>
        <w:numPr>
          <w:ilvl w:val="0"/>
          <w:numId w:val="1003"/>
        </w:numPr>
      </w:pPr>
      <w:r>
        <w:t xml:space="preserve">Candles</w:t>
      </w:r>
    </w:p>
    <w:p>
      <w:pPr>
        <w:pStyle w:val="Compact"/>
        <w:numPr>
          <w:ilvl w:val="0"/>
          <w:numId w:val="1003"/>
        </w:numPr>
      </w:pPr>
      <w:r>
        <w:t xml:space="preserve">Price movement</w:t>
      </w:r>
    </w:p>
    <w:p>
      <w:pPr>
        <w:pStyle w:val="Compact"/>
        <w:numPr>
          <w:ilvl w:val="0"/>
          <w:numId w:val="1003"/>
        </w:numPr>
      </w:pPr>
      <w:r>
        <w:t xml:space="preserve">Structure</w:t>
      </w:r>
    </w:p>
    <w:p>
      <w:pPr>
        <w:pStyle w:val="Compact"/>
        <w:numPr>
          <w:ilvl w:val="0"/>
          <w:numId w:val="1003"/>
        </w:numPr>
      </w:pPr>
      <w:r>
        <w:t xml:space="preserve">Trends</w:t>
      </w:r>
    </w:p>
    <w:p>
      <w:pPr>
        <w:pStyle w:val="Compact"/>
        <w:numPr>
          <w:ilvl w:val="0"/>
          <w:numId w:val="1003"/>
        </w:numPr>
      </w:pPr>
      <w:r>
        <w:t xml:space="preserve">Support/resistance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Technical observations.</w:t>
      </w:r>
    </w:p>
    <w:p>
      <w:r>
        <w:pict>
          <v:rect style="width:0;height:1.5pt" o:hralign="center" o:hrstd="t" o:hr="t"/>
        </w:pict>
      </w:r>
    </w:p>
    <w:bookmarkEnd w:id="15"/>
    <w:bookmarkStart w:id="16" w:name="evidence-analysis-agent"/>
    <w:p>
      <w:pPr>
        <w:pStyle w:val="Heading1"/>
      </w:pPr>
      <w:r>
        <w:t xml:space="preserve">2. Evidence Analysis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Find:</w:t>
      </w:r>
    </w:p>
    <w:p>
      <w:pPr>
        <w:pStyle w:val="Compact"/>
        <w:numPr>
          <w:ilvl w:val="0"/>
          <w:numId w:val="1004"/>
        </w:numPr>
      </w:pPr>
      <w:r>
        <w:t xml:space="preserve">Supporting evidence</w:t>
      </w:r>
    </w:p>
    <w:p>
      <w:pPr>
        <w:pStyle w:val="Compact"/>
        <w:numPr>
          <w:ilvl w:val="0"/>
          <w:numId w:val="1004"/>
        </w:numPr>
      </w:pPr>
      <w:r>
        <w:t xml:space="preserve">Contradictions</w:t>
      </w:r>
    </w:p>
    <w:p>
      <w:pPr>
        <w:pStyle w:val="Compact"/>
        <w:numPr>
          <w:ilvl w:val="0"/>
          <w:numId w:val="1004"/>
        </w:numPr>
      </w:pPr>
      <w:r>
        <w:t xml:space="preserve">Strength of evidence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Evidence report.</w:t>
      </w:r>
    </w:p>
    <w:p>
      <w:r>
        <w:pict>
          <v:rect style="width:0;height:1.5pt" o:hralign="center" o:hrstd="t" o:hr="t"/>
        </w:pict>
      </w:r>
    </w:p>
    <w:bookmarkEnd w:id="16"/>
    <w:bookmarkStart w:id="17" w:name="market-psychology-agent"/>
    <w:p>
      <w:pPr>
        <w:pStyle w:val="Heading1"/>
      </w:pPr>
      <w:r>
        <w:t xml:space="preserve">3. Market Psychology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Analyze:</w:t>
      </w:r>
    </w:p>
    <w:p>
      <w:pPr>
        <w:pStyle w:val="Compact"/>
        <w:numPr>
          <w:ilvl w:val="0"/>
          <w:numId w:val="1005"/>
        </w:numPr>
      </w:pPr>
      <w:r>
        <w:t xml:space="preserve">Buyer behavior</w:t>
      </w:r>
    </w:p>
    <w:p>
      <w:pPr>
        <w:pStyle w:val="Compact"/>
        <w:numPr>
          <w:ilvl w:val="0"/>
          <w:numId w:val="1005"/>
        </w:numPr>
      </w:pPr>
      <w:r>
        <w:t xml:space="preserve">Seller behavior</w:t>
      </w:r>
    </w:p>
    <w:p>
      <w:pPr>
        <w:pStyle w:val="Compact"/>
        <w:numPr>
          <w:ilvl w:val="0"/>
          <w:numId w:val="1005"/>
        </w:numPr>
      </w:pPr>
      <w:r>
        <w:t xml:space="preserve">Fear</w:t>
      </w:r>
    </w:p>
    <w:p>
      <w:pPr>
        <w:pStyle w:val="Compact"/>
        <w:numPr>
          <w:ilvl w:val="0"/>
          <w:numId w:val="1005"/>
        </w:numPr>
      </w:pPr>
      <w:r>
        <w:t xml:space="preserve">Confidence</w:t>
      </w:r>
    </w:p>
    <w:p>
      <w:pPr>
        <w:pStyle w:val="Compact"/>
        <w:numPr>
          <w:ilvl w:val="0"/>
          <w:numId w:val="1005"/>
        </w:numPr>
      </w:pPr>
      <w:r>
        <w:t xml:space="preserve">Uncertainty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Psychological interpretation.</w:t>
      </w:r>
    </w:p>
    <w:p>
      <w:r>
        <w:pict>
          <v:rect style="width:0;height:1.5pt" o:hralign="center" o:hrstd="t" o:hr="t"/>
        </w:pict>
      </w:r>
    </w:p>
    <w:bookmarkEnd w:id="17"/>
    <w:bookmarkStart w:id="18" w:name="historical-intelligence-agent"/>
    <w:p>
      <w:pPr>
        <w:pStyle w:val="Heading1"/>
      </w:pPr>
      <w:r>
        <w:t xml:space="preserve">4. Historical Intelligence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Search:</w:t>
      </w:r>
    </w:p>
    <w:p>
      <w:pPr>
        <w:pStyle w:val="Compact"/>
        <w:numPr>
          <w:ilvl w:val="0"/>
          <w:numId w:val="1006"/>
        </w:numPr>
      </w:pPr>
      <w:r>
        <w:t xml:space="preserve">Similar situations</w:t>
      </w:r>
    </w:p>
    <w:p>
      <w:pPr>
        <w:pStyle w:val="Compact"/>
        <w:numPr>
          <w:ilvl w:val="0"/>
          <w:numId w:val="1006"/>
        </w:numPr>
      </w:pPr>
      <w:r>
        <w:t xml:space="preserve">Previous examples</w:t>
      </w:r>
    </w:p>
    <w:p>
      <w:pPr>
        <w:pStyle w:val="Compact"/>
        <w:numPr>
          <w:ilvl w:val="0"/>
          <w:numId w:val="1006"/>
        </w:numPr>
      </w:pPr>
      <w:r>
        <w:t xml:space="preserve">Historical context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Comparable market events.</w:t>
      </w:r>
    </w:p>
    <w:p>
      <w:r>
        <w:pict>
          <v:rect style="width:0;height:1.5pt" o:hralign="center" o:hrstd="t" o:hr="t"/>
        </w:pict>
      </w:r>
    </w:p>
    <w:bookmarkEnd w:id="18"/>
    <w:bookmarkStart w:id="19" w:name="risk-uncertainty-agent"/>
    <w:p>
      <w:pPr>
        <w:pStyle w:val="Heading1"/>
      </w:pPr>
      <w:r>
        <w:t xml:space="preserve">5. Risk &amp; Uncertainty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7"/>
        </w:numPr>
      </w:pPr>
      <w:r>
        <w:t xml:space="preserve">Confidence</w:t>
      </w:r>
    </w:p>
    <w:p>
      <w:pPr>
        <w:pStyle w:val="Compact"/>
        <w:numPr>
          <w:ilvl w:val="0"/>
          <w:numId w:val="1007"/>
        </w:numPr>
      </w:pPr>
      <w:r>
        <w:t xml:space="preserve">Unknown factors</w:t>
      </w:r>
    </w:p>
    <w:p>
      <w:pPr>
        <w:pStyle w:val="Compact"/>
        <w:numPr>
          <w:ilvl w:val="0"/>
          <w:numId w:val="1007"/>
        </w:numPr>
      </w:pPr>
      <w:r>
        <w:t xml:space="preserve">Conflicting evidence</w:t>
      </w:r>
    </w:p>
    <w:p>
      <w:pPr>
        <w:pStyle w:val="Compact"/>
        <w:numPr>
          <w:ilvl w:val="0"/>
          <w:numId w:val="1007"/>
        </w:numPr>
      </w:pPr>
      <w:r>
        <w:t xml:space="preserve">Alternative scenarios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Risk explanation.</w:t>
      </w:r>
    </w:p>
    <w:p>
      <w:r>
        <w:pict>
          <v:rect style="width:0;height:1.5pt" o:hralign="center" o:hrstd="t" o:hr="t"/>
        </w:pict>
      </w:r>
    </w:p>
    <w:bookmarkEnd w:id="19"/>
    <w:bookmarkStart w:id="20" w:name="teaching-agent"/>
    <w:p>
      <w:pPr>
        <w:pStyle w:val="Heading1"/>
      </w:pPr>
      <w:r>
        <w:t xml:space="preserve">6. Teaching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Convert professional analysis into:</w:t>
      </w:r>
    </w:p>
    <w:p>
      <w:pPr>
        <w:pStyle w:val="Compact"/>
        <w:numPr>
          <w:ilvl w:val="0"/>
          <w:numId w:val="1008"/>
        </w:numPr>
      </w:pPr>
      <w:r>
        <w:t xml:space="preserve">Beginner explanation</w:t>
      </w:r>
    </w:p>
    <w:p>
      <w:pPr>
        <w:pStyle w:val="Compact"/>
        <w:numPr>
          <w:ilvl w:val="0"/>
          <w:numId w:val="1008"/>
        </w:numPr>
      </w:pPr>
      <w:r>
        <w:t xml:space="preserve">Intermediate explanation</w:t>
      </w:r>
    </w:p>
    <w:p>
      <w:pPr>
        <w:pStyle w:val="Compact"/>
        <w:numPr>
          <w:ilvl w:val="0"/>
          <w:numId w:val="1008"/>
        </w:numPr>
      </w:pPr>
      <w:r>
        <w:t xml:space="preserve">Advanced explanation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Educational response.</w:t>
      </w:r>
    </w:p>
    <w:p>
      <w:r>
        <w:pict>
          <v:rect style="width:0;height:1.5pt" o:hralign="center" o:hrstd="t" o:hr="t"/>
        </w:pict>
      </w:r>
    </w:p>
    <w:bookmarkEnd w:id="20"/>
    <w:bookmarkStart w:id="21" w:name="conversation-agent"/>
    <w:p>
      <w:pPr>
        <w:pStyle w:val="Heading1"/>
      </w:pPr>
      <w:r>
        <w:t xml:space="preserve">7. Conversation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Handle:</w:t>
      </w:r>
    </w:p>
    <w:p>
      <w:pPr>
        <w:pStyle w:val="Compact"/>
        <w:numPr>
          <w:ilvl w:val="0"/>
          <w:numId w:val="1009"/>
        </w:numPr>
      </w:pPr>
      <w:r>
        <w:t xml:space="preserve">User questions</w:t>
      </w:r>
    </w:p>
    <w:p>
      <w:pPr>
        <w:pStyle w:val="Compact"/>
        <w:numPr>
          <w:ilvl w:val="0"/>
          <w:numId w:val="1009"/>
        </w:numPr>
      </w:pPr>
      <w:r>
        <w:t xml:space="preserve">Context</w:t>
      </w:r>
    </w:p>
    <w:p>
      <w:pPr>
        <w:pStyle w:val="Compact"/>
        <w:numPr>
          <w:ilvl w:val="0"/>
          <w:numId w:val="1009"/>
        </w:numPr>
      </w:pPr>
      <w:r>
        <w:t xml:space="preserve">Follow-up discussion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Natural interaction.</w:t>
      </w:r>
    </w:p>
    <w:p>
      <w:r>
        <w:pict>
          <v:rect style="width:0;height:1.5pt" o:hralign="center" o:hrstd="t" o:hr="t"/>
        </w:pict>
      </w:r>
    </w:p>
    <w:bookmarkEnd w:id="21"/>
    <w:bookmarkStart w:id="22" w:name="quality-control-agent"/>
    <w:p>
      <w:pPr>
        <w:pStyle w:val="Heading1"/>
      </w:pPr>
      <w:r>
        <w:t xml:space="preserve">8. Quality Control Agent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Review final answer.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10"/>
        </w:numPr>
      </w:pPr>
      <w:r>
        <w:t xml:space="preserve">Accuracy</w:t>
      </w:r>
    </w:p>
    <w:p>
      <w:pPr>
        <w:pStyle w:val="Compact"/>
        <w:numPr>
          <w:ilvl w:val="0"/>
          <w:numId w:val="1010"/>
        </w:numPr>
      </w:pPr>
      <w:r>
        <w:t xml:space="preserve">Evidence usage</w:t>
      </w:r>
    </w:p>
    <w:p>
      <w:pPr>
        <w:pStyle w:val="Compact"/>
        <w:numPr>
          <w:ilvl w:val="0"/>
          <w:numId w:val="1010"/>
        </w:numPr>
      </w:pPr>
      <w:r>
        <w:t xml:space="preserve">No false certainty</w:t>
      </w:r>
    </w:p>
    <w:p>
      <w:pPr>
        <w:pStyle w:val="Compact"/>
        <w:numPr>
          <w:ilvl w:val="0"/>
          <w:numId w:val="1010"/>
        </w:numPr>
      </w:pPr>
      <w:r>
        <w:t xml:space="preserve">Educational quality</w:t>
      </w:r>
    </w:p>
    <w:p>
      <w:r>
        <w:pict>
          <v:rect style="width:0;height:1.5pt" o:hralign="center" o:hrstd="t" o:hr="t"/>
        </w:pict>
      </w:r>
    </w:p>
    <w:bookmarkEnd w:id="22"/>
    <w:bookmarkStart w:id="23" w:name="ai-orchestration-flow"/>
    <w:p>
      <w:pPr>
        <w:pStyle w:val="Heading1"/>
      </w:pPr>
      <w:r>
        <w:t xml:space="preserve">AI Orchestration Flow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“Explain this Bitcoin chart.”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Orchestrator sends tasks:</w:t>
      </w:r>
    </w:p>
    <w:p>
      <w:pPr>
        <w:pStyle w:val="BodyText"/>
      </w:pPr>
      <w:r>
        <w:t xml:space="preserve">Chart Agent:</w:t>
      </w:r>
    </w:p>
    <w:p>
      <w:pPr>
        <w:pStyle w:val="BodyText"/>
      </w:pPr>
      <w:r>
        <w:t xml:space="preserve">Analyze structure.</w:t>
      </w:r>
    </w:p>
    <w:p>
      <w:pPr>
        <w:pStyle w:val="BodyText"/>
      </w:pPr>
      <w:r>
        <w:t xml:space="preserve">Evidence Agent:</w:t>
      </w:r>
    </w:p>
    <w:p>
      <w:pPr>
        <w:pStyle w:val="BodyText"/>
      </w:pPr>
      <w:r>
        <w:t xml:space="preserve">Find supporting evidence.</w:t>
      </w:r>
    </w:p>
    <w:p>
      <w:pPr>
        <w:pStyle w:val="BodyText"/>
      </w:pPr>
      <w:r>
        <w:t xml:space="preserve">Psychology Agent:</w:t>
      </w:r>
    </w:p>
    <w:p>
      <w:pPr>
        <w:pStyle w:val="BodyText"/>
      </w:pPr>
      <w:r>
        <w:t xml:space="preserve">Analyze participant behavior.</w:t>
      </w:r>
    </w:p>
    <w:p>
      <w:pPr>
        <w:pStyle w:val="BodyText"/>
      </w:pPr>
      <w:r>
        <w:t xml:space="preserve">History Agent:</w:t>
      </w:r>
    </w:p>
    <w:p>
      <w:pPr>
        <w:pStyle w:val="BodyText"/>
      </w:pPr>
      <w:r>
        <w:t xml:space="preserve">Find similar events.</w:t>
      </w:r>
    </w:p>
    <w:p>
      <w:pPr>
        <w:pStyle w:val="BodyText"/>
      </w:pPr>
      <w:r>
        <w:t xml:space="preserve">Risk Agent:</w:t>
      </w:r>
    </w:p>
    <w:p>
      <w:pPr>
        <w:pStyle w:val="BodyText"/>
      </w:pPr>
      <w:r>
        <w:t xml:space="preserve">Measure uncertainty.</w:t>
      </w:r>
    </w:p>
    <w:p>
      <w:pPr>
        <w:pStyle w:val="BodyText"/>
      </w:pPr>
      <w:r>
        <w:t xml:space="preserve">Teacher Agent:</w:t>
      </w:r>
    </w:p>
    <w:p>
      <w:pPr>
        <w:pStyle w:val="BodyText"/>
      </w:pPr>
      <w:r>
        <w:t xml:space="preserve">Create explanation.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Final response:</w:t>
      </w:r>
    </w:p>
    <w:p>
      <w:pPr>
        <w:pStyle w:val="BodyText"/>
      </w:pPr>
      <w:r>
        <w:t xml:space="preserve">Combined explanation.</w:t>
      </w:r>
    </w:p>
    <w:p>
      <w:r>
        <w:pict>
          <v:rect style="width:0;height:1.5pt" o:hralign="center" o:hrstd="t" o:hr="t"/>
        </w:pict>
      </w:r>
    </w:p>
    <w:bookmarkEnd w:id="23"/>
    <w:bookmarkStart w:id="24" w:name="agent-communication-system"/>
    <w:p>
      <w:pPr>
        <w:pStyle w:val="Heading1"/>
      </w:pPr>
      <w:r>
        <w:t xml:space="preserve">Agent Communication System</w:t>
      </w:r>
    </w:p>
    <w:p>
      <w:pPr>
        <w:pStyle w:val="FirstParagraph"/>
      </w:pPr>
      <w:r>
        <w:t xml:space="preserve">Agents should exchange: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Arguments</w:t>
      </w:r>
    </w:p>
    <w:p>
      <w:pPr>
        <w:pStyle w:val="BodyText"/>
      </w:pPr>
      <w:r>
        <w:t xml:space="preserve">Alternative 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Chart Agent:</w:t>
      </w:r>
    </w:p>
    <w:p>
      <w:pPr>
        <w:pStyle w:val="BodyText"/>
      </w:pPr>
      <w:r>
        <w:t xml:space="preserve">“Trend appears bullish.”</w:t>
      </w:r>
    </w:p>
    <w:p>
      <w:pPr>
        <w:pStyle w:val="BodyText"/>
      </w:pPr>
      <w:r>
        <w:t xml:space="preserve">Risk Agent:</w:t>
      </w:r>
    </w:p>
    <w:p>
      <w:pPr>
        <w:pStyle w:val="BodyText"/>
      </w:pPr>
      <w:r>
        <w:t xml:space="preserve">“Resistance creates uncertainty.”</w:t>
      </w:r>
    </w:p>
    <w:p>
      <w:pPr>
        <w:pStyle w:val="BodyText"/>
      </w:pPr>
      <w:r>
        <w:t xml:space="preserve">Teacher Agent:</w:t>
      </w:r>
    </w:p>
    <w:p>
      <w:pPr>
        <w:pStyle w:val="BodyText"/>
      </w:pPr>
      <w:r>
        <w:t xml:space="preserve">“Explain both.”</w:t>
      </w:r>
    </w:p>
    <w:p>
      <w:r>
        <w:pict>
          <v:rect style="width:0;height:1.5pt" o:hralign="center" o:hrstd="t" o:hr="t"/>
        </w:pict>
      </w:r>
    </w:p>
    <w:bookmarkEnd w:id="24"/>
    <w:bookmarkStart w:id="25" w:name="reasoning-conflict-resolution"/>
    <w:p>
      <w:pPr>
        <w:pStyle w:val="Heading1"/>
      </w:pPr>
      <w:r>
        <w:t xml:space="preserve">Reasoning Conflict Resolution</w:t>
      </w:r>
    </w:p>
    <w:p>
      <w:pPr>
        <w:pStyle w:val="FirstParagraph"/>
      </w:pPr>
      <w:r>
        <w:t xml:space="preserve">Agents may disagree.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Chart Agent:</w:t>
      </w:r>
    </w:p>
    <w:p>
      <w:pPr>
        <w:pStyle w:val="BodyText"/>
      </w:pPr>
      <w:r>
        <w:t xml:space="preserve">“Bullish.”</w:t>
      </w:r>
    </w:p>
    <w:p>
      <w:pPr>
        <w:pStyle w:val="BodyText"/>
      </w:pPr>
      <w:r>
        <w:t xml:space="preserve">Psychology Agent:</w:t>
      </w:r>
    </w:p>
    <w:p>
      <w:pPr>
        <w:pStyle w:val="BodyText"/>
      </w:pPr>
      <w:r>
        <w:t xml:space="preserve">“Buyer confidence weakening.”</w:t>
      </w:r>
    </w:p>
    <w:p>
      <w:pPr>
        <w:pStyle w:val="BodyText"/>
      </w:pPr>
      <w:r>
        <w:t xml:space="preserve">System should:</w:t>
      </w:r>
    </w:p>
    <w:p>
      <w:pPr>
        <w:pStyle w:val="BodyText"/>
      </w:pPr>
      <w:r>
        <w:t xml:space="preserve">Identify conflict.</w:t>
      </w:r>
    </w:p>
    <w:p>
      <w:pPr>
        <w:pStyle w:val="BodyText"/>
      </w:pPr>
      <w:r>
        <w:t xml:space="preserve">Explain conflict.</w:t>
      </w:r>
    </w:p>
    <w:p>
      <w:pPr>
        <w:pStyle w:val="BodyText"/>
      </w:pPr>
      <w:r>
        <w:t xml:space="preserve">Avoid forced agreement.</w:t>
      </w:r>
    </w:p>
    <w:p>
      <w:r>
        <w:pict>
          <v:rect style="width:0;height:1.5pt" o:hralign="center" o:hrstd="t" o:hr="t"/>
        </w:pict>
      </w:r>
    </w:p>
    <w:bookmarkEnd w:id="25"/>
    <w:bookmarkStart w:id="26" w:name="agent-confidence-system"/>
    <w:p>
      <w:pPr>
        <w:pStyle w:val="Heading1"/>
      </w:pPr>
      <w:r>
        <w:t xml:space="preserve">Agent Confidence System</w:t>
      </w:r>
    </w:p>
    <w:p>
      <w:pPr>
        <w:pStyle w:val="FirstParagraph"/>
      </w:pPr>
      <w:r>
        <w:t xml:space="preserve">Each agent provides:</w:t>
      </w:r>
    </w:p>
    <w:p>
      <w:pPr>
        <w:pStyle w:val="BodyText"/>
      </w:pPr>
      <w:r>
        <w:t xml:space="preserve">Observation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Limitations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json id="agent81" { "agent":"ChartAnalysis", "conclusion":"uptrend", "confidence":0.82, "evidence":[ "higher_high", "higher_low" ] }</w:t>
      </w:r>
    </w:p>
    <w:p>
      <w:r>
        <w:pict>
          <v:rect style="width:0;height:1.5pt" o:hralign="center" o:hrstd="t" o:hr="t"/>
        </w:pict>
      </w:r>
    </w:p>
    <w:bookmarkEnd w:id="26"/>
    <w:bookmarkStart w:id="27" w:name="dynamic-agent-selection"/>
    <w:p>
      <w:pPr>
        <w:pStyle w:val="Heading1"/>
      </w:pPr>
      <w:r>
        <w:t xml:space="preserve">Dynamic Agent Selection</w:t>
      </w:r>
    </w:p>
    <w:p>
      <w:pPr>
        <w:pStyle w:val="FirstParagraph"/>
      </w:pPr>
      <w:r>
        <w:t xml:space="preserve">Do not run unnecessary agents.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Simple candle question:</w:t>
      </w:r>
    </w:p>
    <w:p>
      <w:pPr>
        <w:pStyle w:val="BodyText"/>
      </w:pPr>
      <w:r>
        <w:t xml:space="preserve">Only use:</w:t>
      </w:r>
    </w:p>
    <w:p>
      <w:pPr>
        <w:pStyle w:val="BodyText"/>
      </w:pPr>
      <w:r>
        <w:t xml:space="preserve">Chart Agent</w:t>
      </w:r>
    </w:p>
    <w:p>
      <w:pPr>
        <w:pStyle w:val="BodyText"/>
      </w:pPr>
      <w:r>
        <w:t xml:space="preserve">Teaching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Complex market analysis: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All agents.</w:t>
      </w:r>
    </w:p>
    <w:p>
      <w:r>
        <w:pict>
          <v:rect style="width:0;height:1.5pt" o:hralign="center" o:hrstd="t" o:hr="t"/>
        </w:pict>
      </w:r>
    </w:p>
    <w:bookmarkEnd w:id="27"/>
    <w:bookmarkStart w:id="28" w:name="ai-cost-optimization"/>
    <w:p>
      <w:pPr>
        <w:pStyle w:val="Heading1"/>
      </w:pPr>
      <w:r>
        <w:t xml:space="preserve">AI Cost Optimization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Optimize AI usage.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Agent priority</w:t>
      </w:r>
    </w:p>
    <w:p>
      <w:pPr>
        <w:pStyle w:val="BodyText"/>
      </w:pPr>
      <w:r>
        <w:t xml:space="preserve">Context reuse</w:t>
      </w:r>
    </w:p>
    <w:p>
      <w:pPr>
        <w:pStyle w:val="BodyText"/>
      </w:pPr>
      <w:r>
        <w:t xml:space="preserve">Selective execution</w:t>
      </w:r>
    </w:p>
    <w:p>
      <w:r>
        <w:pict>
          <v:rect style="width:0;height:1.5pt" o:hralign="center" o:hrstd="t" o:hr="t"/>
        </w:pict>
      </w:r>
    </w:p>
    <w:bookmarkEnd w:id="28"/>
    <w:bookmarkStart w:id="29" w:name="memory-integration"/>
    <w:p>
      <w:pPr>
        <w:pStyle w:val="Heading1"/>
      </w:pPr>
      <w:r>
        <w:t xml:space="preserve">Memory Integration</w:t>
      </w:r>
    </w:p>
    <w:p>
      <w:pPr>
        <w:pStyle w:val="FirstParagraph"/>
      </w:pPr>
      <w:r>
        <w:t xml:space="preserve">Agents should access: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Market Memory</w:t>
      </w:r>
    </w:p>
    <w:p>
      <w:pPr>
        <w:pStyle w:val="BodyText"/>
      </w:pPr>
      <w:r>
        <w:t xml:space="preserve">User Profile</w:t>
      </w:r>
    </w:p>
    <w:p>
      <w:pPr>
        <w:pStyle w:val="BodyText"/>
      </w:pPr>
      <w:r>
        <w:t xml:space="preserve">Historical Learning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Agent outputs</w:t>
      </w:r>
    </w:p>
    <w:p>
      <w:pPr>
        <w:pStyle w:val="BodyText"/>
      </w:pPr>
      <w:r>
        <w:t xml:space="preserve">Reasoning chains</w:t>
      </w:r>
    </w:p>
    <w:p>
      <w:pPr>
        <w:pStyle w:val="BodyText"/>
      </w:pPr>
      <w:r>
        <w:t xml:space="preserve">Confidence scores</w:t>
      </w:r>
    </w:p>
    <w:p>
      <w:pPr>
        <w:pStyle w:val="BodyText"/>
      </w:pPr>
      <w:r>
        <w:t xml:space="preserve">Quality evaluations</w:t>
      </w:r>
    </w:p>
    <w:p>
      <w:r>
        <w:pict>
          <v:rect style="width:0;height:1.5pt" o:hralign="center" o:hrstd="t" o:hr="t"/>
        </w:pict>
      </w:r>
    </w:p>
    <w:bookmarkEnd w:id="30"/>
    <w:bookmarkStart w:id="31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Analyze request</w:t>
      </w:r>
    </w:p>
    <w:p>
      <w:pPr>
        <w:pStyle w:val="BodyText"/>
      </w:pPr>
      <w:r>
        <w:t xml:space="preserve">Run agents</w:t>
      </w:r>
    </w:p>
    <w:p>
      <w:pPr>
        <w:pStyle w:val="BodyText"/>
      </w:pPr>
      <w:r>
        <w:t xml:space="preserve">Combine results</w:t>
      </w:r>
    </w:p>
    <w:p>
      <w:pPr>
        <w:pStyle w:val="BodyText"/>
      </w:pPr>
      <w:r>
        <w:t xml:space="preserve">Validate response</w:t>
      </w:r>
    </w:p>
    <w:p>
      <w:pPr>
        <w:pStyle w:val="BodyText"/>
      </w:pPr>
      <w:r>
        <w:t xml:space="preserve">Retrieve reasoning history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Ensure:</w:t>
      </w:r>
    </w:p>
    <w:p>
      <w:pPr>
        <w:pStyle w:val="BodyText"/>
      </w:pPr>
      <w:r>
        <w:t xml:space="preserve">Agent permissions</w:t>
      </w:r>
    </w:p>
    <w:p>
      <w:pPr>
        <w:pStyle w:val="BodyText"/>
      </w:pPr>
      <w:r>
        <w:t xml:space="preserve">Data isolation</w:t>
      </w:r>
    </w:p>
    <w:p>
      <w:pPr>
        <w:pStyle w:val="BodyText"/>
      </w:pPr>
      <w:r>
        <w:t xml:space="preserve">Prompt protection</w:t>
      </w:r>
    </w:p>
    <w:p>
      <w:pPr>
        <w:pStyle w:val="BodyText"/>
      </w:pPr>
      <w:r>
        <w:t xml:space="preserve">Output validation</w:t>
      </w:r>
    </w:p>
    <w:p>
      <w:r>
        <w:pict>
          <v:rect style="width:0;height:1.5pt" o:hralign="center" o:hrstd="t" o:hr="t"/>
        </w:pict>
      </w:r>
    </w:p>
    <w:bookmarkEnd w:id="32"/>
    <w:bookmarkStart w:id="33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Real-time analysis</w:t>
      </w:r>
    </w:p>
    <w:p>
      <w:pPr>
        <w:pStyle w:val="BodyText"/>
      </w:pPr>
      <w:r>
        <w:t xml:space="preserve">Multiple users</w:t>
      </w:r>
    </w:p>
    <w:p>
      <w:pPr>
        <w:pStyle w:val="BodyText"/>
      </w:pPr>
      <w:r>
        <w:t xml:space="preserve">Parallel agent execution</w:t>
      </w:r>
    </w:p>
    <w:p>
      <w:pPr>
        <w:pStyle w:val="BodyText"/>
      </w:pPr>
      <w:r>
        <w:t xml:space="preserve">Low latency</w:t>
      </w:r>
    </w:p>
    <w:p>
      <w:r>
        <w:pict>
          <v:rect style="width:0;height:1.5pt" o:hralign="center" o:hrstd="t" o:hr="t"/>
        </w:pict>
      </w:r>
    </w:p>
    <w:bookmarkEnd w:id="33"/>
    <w:bookmarkStart w:id="34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1"/>
        </w:numPr>
      </w:pPr>
      <w:r>
        <w:t xml:space="preserve">Additional expert agents</w:t>
      </w:r>
    </w:p>
    <w:p>
      <w:pPr>
        <w:pStyle w:val="Compact"/>
        <w:numPr>
          <w:ilvl w:val="0"/>
          <w:numId w:val="1011"/>
        </w:numPr>
      </w:pPr>
      <w:r>
        <w:t xml:space="preserve">Research agents</w:t>
      </w:r>
    </w:p>
    <w:p>
      <w:pPr>
        <w:pStyle w:val="Compact"/>
        <w:numPr>
          <w:ilvl w:val="0"/>
          <w:numId w:val="1011"/>
        </w:numPr>
      </w:pPr>
      <w:r>
        <w:t xml:space="preserve">Economic analyst agents</w:t>
      </w:r>
    </w:p>
    <w:p>
      <w:pPr>
        <w:pStyle w:val="Compact"/>
        <w:numPr>
          <w:ilvl w:val="0"/>
          <w:numId w:val="1011"/>
        </w:numPr>
      </w:pPr>
      <w:r>
        <w:t xml:space="preserve">Portfolio education agents</w:t>
      </w:r>
    </w:p>
    <w:p>
      <w:pPr>
        <w:pStyle w:val="Compact"/>
        <w:numPr>
          <w:ilvl w:val="0"/>
          <w:numId w:val="1011"/>
        </w:numPr>
      </w:pPr>
      <w:r>
        <w:t xml:space="preserve">AI debate systems</w:t>
      </w:r>
    </w:p>
    <w:p>
      <w:r>
        <w:pict>
          <v:rect style="width:0;height:1.5pt" o:hralign="center" o:hrstd="t" o:hr="t"/>
        </w:pict>
      </w:r>
    </w:p>
    <w:bookmarkEnd w:id="34"/>
    <w:bookmarkStart w:id="35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Model Orchestration System should make MLAI behave like a complete market intelligence team.</w:t>
      </w:r>
    </w:p>
    <w:p>
      <w:pPr>
        <w:pStyle w:val="BodyText"/>
      </w:pPr>
      <w:r>
        <w:t xml:space="preserve">Not one AI giving an opinion.</w:t>
      </w:r>
    </w:p>
    <w:p>
      <w:pPr>
        <w:pStyle w:val="BodyText"/>
      </w:pPr>
      <w:r>
        <w:t xml:space="preserve">A coordinated group of specialized AI systems analyzing:</w:t>
      </w:r>
    </w:p>
    <w:p>
      <w:pPr>
        <w:pStyle w:val="BodyText"/>
      </w:pPr>
      <w:r>
        <w:t xml:space="preserve">Evidence.</w:t>
      </w:r>
    </w:p>
    <w:p>
      <w:pPr>
        <w:pStyle w:val="BodyText"/>
      </w:pPr>
      <w:r>
        <w:t xml:space="preserve">Context.</w:t>
      </w:r>
    </w:p>
    <w:p>
      <w:pPr>
        <w:pStyle w:val="BodyText"/>
      </w:pPr>
      <w:r>
        <w:t xml:space="preserve">Psychology.</w:t>
      </w:r>
    </w:p>
    <w:p>
      <w:pPr>
        <w:pStyle w:val="BodyText"/>
      </w:pPr>
      <w:r>
        <w:t xml:space="preserve">History.</w:t>
      </w:r>
    </w:p>
    <w:p>
      <w:pPr>
        <w:pStyle w:val="BodyText"/>
      </w:pPr>
      <w:r>
        <w:t xml:space="preserve">Risk.</w:t>
      </w:r>
    </w:p>
    <w:p>
      <w:pPr>
        <w:pStyle w:val="BodyText"/>
      </w:pPr>
      <w:r>
        <w:t xml:space="preserve">Education.</w:t>
      </w:r>
    </w:p>
    <w:p>
      <w:pPr>
        <w:pStyle w:val="BodyText"/>
      </w:pPr>
      <w:r>
        <w:t xml:space="preserve">Together creating a trustworthy market explanation.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