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636abdf87f388f16a1e86319f0b91c7b7f4622"/>
    <w:p>
      <w:pPr>
        <w:pStyle w:val="Heading1"/>
      </w:pPr>
      <w:r>
        <w:t xml:space="preserve">Replit AI Prompt — Phase 23: Multi-Asset Intelligence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Quantitative Research Architect</w:t>
      </w:r>
    </w:p>
    <w:p>
      <w:pPr>
        <w:pStyle w:val="Compact"/>
        <w:numPr>
          <w:ilvl w:val="0"/>
          <w:numId w:val="1001"/>
        </w:numPr>
      </w:pPr>
      <w:r>
        <w:t xml:space="preserve">Multi-Market Analyst</w:t>
      </w:r>
    </w:p>
    <w:p>
      <w:pPr>
        <w:pStyle w:val="Compact"/>
        <w:numPr>
          <w:ilvl w:val="0"/>
          <w:numId w:val="1001"/>
        </w:numPr>
      </w:pPr>
      <w:r>
        <w:t xml:space="preserve">Financial Data Engineer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Correlation Research Specialist</w:t>
      </w:r>
    </w:p>
    <w:p>
      <w:pPr>
        <w:pStyle w:val="Compact"/>
        <w:numPr>
          <w:ilvl w:val="0"/>
          <w:numId w:val="1001"/>
        </w:numPr>
      </w:pPr>
      <w:r>
        <w:t xml:space="preserve">AI Reasoning Architect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Multi-Asset Intelligence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Multi-Asset Intelligence Engine allows MLAI to understand relationships between different financial markets and provide broader market context.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Markets are connected.</w:t>
      </w:r>
    </w:p>
    <w:p>
      <w:pPr>
        <w:pStyle w:val="BodyText"/>
      </w:pPr>
      <w:r>
        <w:t xml:space="preserve">A movement in one asset may influence:</w:t>
      </w:r>
    </w:p>
    <w:p>
      <w:pPr>
        <w:pStyle w:val="Compact"/>
        <w:numPr>
          <w:ilvl w:val="0"/>
          <w:numId w:val="1002"/>
        </w:numPr>
      </w:pPr>
      <w:r>
        <w:t xml:space="preserve">Investor sentiment</w:t>
      </w:r>
    </w:p>
    <w:p>
      <w:pPr>
        <w:pStyle w:val="Compact"/>
        <w:numPr>
          <w:ilvl w:val="0"/>
          <w:numId w:val="1002"/>
        </w:numPr>
      </w:pPr>
      <w:r>
        <w:t xml:space="preserve">Risk appetite</w:t>
      </w:r>
    </w:p>
    <w:p>
      <w:pPr>
        <w:pStyle w:val="Compact"/>
        <w:numPr>
          <w:ilvl w:val="0"/>
          <w:numId w:val="1002"/>
        </w:numPr>
      </w:pPr>
      <w:r>
        <w:t xml:space="preserve">Capital flows</w:t>
      </w:r>
    </w:p>
    <w:p>
      <w:pPr>
        <w:pStyle w:val="Compact"/>
        <w:numPr>
          <w:ilvl w:val="0"/>
          <w:numId w:val="1002"/>
        </w:numPr>
      </w:pPr>
      <w:r>
        <w:t xml:space="preserve">Market expectations</w:t>
      </w:r>
    </w:p>
    <w:p>
      <w:pPr>
        <w:pStyle w:val="FirstParagraph"/>
      </w:pPr>
      <w:r>
        <w:t xml:space="preserve">However:</w:t>
      </w:r>
    </w:p>
    <w:p>
      <w:pPr>
        <w:pStyle w:val="BodyText"/>
      </w:pPr>
      <w:r>
        <w:t xml:space="preserve">Correlation does not mean causation.</w:t>
      </w:r>
    </w:p>
    <w:p>
      <w:pPr>
        <w:pStyle w:val="BodyText"/>
      </w:pPr>
      <w:r>
        <w:t xml:space="preserve">MLAI must explain relationships carefully using evidence.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intelligence layer that understands:</w:t>
      </w:r>
    </w:p>
    <w:p>
      <w:pPr>
        <w:pStyle w:val="Compact"/>
        <w:numPr>
          <w:ilvl w:val="0"/>
          <w:numId w:val="1003"/>
        </w:numPr>
      </w:pPr>
      <w:r>
        <w:t xml:space="preserve">Asset relationships</w:t>
      </w:r>
    </w:p>
    <w:p>
      <w:pPr>
        <w:pStyle w:val="Compact"/>
        <w:numPr>
          <w:ilvl w:val="0"/>
          <w:numId w:val="1003"/>
        </w:numPr>
      </w:pPr>
      <w:r>
        <w:t xml:space="preserve">Market correlations</w:t>
      </w:r>
    </w:p>
    <w:p>
      <w:pPr>
        <w:pStyle w:val="Compact"/>
        <w:numPr>
          <w:ilvl w:val="0"/>
          <w:numId w:val="1003"/>
        </w:numPr>
      </w:pPr>
      <w:r>
        <w:t xml:space="preserve">Relative strength</w:t>
      </w:r>
    </w:p>
    <w:p>
      <w:pPr>
        <w:pStyle w:val="Compact"/>
        <w:numPr>
          <w:ilvl w:val="0"/>
          <w:numId w:val="1003"/>
        </w:numPr>
      </w:pPr>
      <w:r>
        <w:t xml:space="preserve">Sector behavior</w:t>
      </w:r>
    </w:p>
    <w:p>
      <w:pPr>
        <w:pStyle w:val="Compact"/>
        <w:numPr>
          <w:ilvl w:val="0"/>
          <w:numId w:val="1003"/>
        </w:numPr>
      </w:pPr>
      <w:r>
        <w:t xml:space="preserve">Capital movement</w:t>
      </w:r>
    </w:p>
    <w:p>
      <w:pPr>
        <w:pStyle w:val="Compact"/>
        <w:numPr>
          <w:ilvl w:val="0"/>
          <w:numId w:val="1003"/>
        </w:numPr>
      </w:pPr>
      <w:r>
        <w:t xml:space="preserve">Global market context</w:t>
      </w:r>
    </w:p>
    <w:p>
      <w:r>
        <w:pict>
          <v:rect style="width:0;height:1.5pt" o:hralign="center" o:hrstd="t" o:hr="t"/>
        </w:pict>
      </w:r>
    </w:p>
    <w:bookmarkEnd w:id="12"/>
    <w:bookmarkStart w:id="18" w:name="supported-asset-classes"/>
    <w:p>
      <w:pPr>
        <w:pStyle w:val="Heading1"/>
      </w:pPr>
      <w:r>
        <w:t xml:space="preserve">Supported Asset Classes</w:t>
      </w:r>
    </w:p>
    <w:p>
      <w:pPr>
        <w:pStyle w:val="FirstParagraph"/>
      </w:pPr>
      <w:r>
        <w:t xml:space="preserve">The architecture should support:</w:t>
      </w:r>
    </w:p>
    <w:bookmarkStart w:id="13" w:name="equities"/>
    <w:p>
      <w:pPr>
        <w:pStyle w:val="Heading2"/>
      </w:pPr>
      <w:r>
        <w:t xml:space="preserve">Equities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Individual stocks</w:t>
      </w:r>
    </w:p>
    <w:p>
      <w:pPr>
        <w:pStyle w:val="BodyText"/>
      </w:pPr>
      <w:r>
        <w:t xml:space="preserve">Indexes</w:t>
      </w:r>
    </w:p>
    <w:p>
      <w:pPr>
        <w:pStyle w:val="BodyText"/>
      </w:pPr>
      <w:r>
        <w:t xml:space="preserve">ETFs</w:t>
      </w:r>
    </w:p>
    <w:p>
      <w:r>
        <w:pict>
          <v:rect style="width:0;height:1.5pt" o:hralign="center" o:hrstd="t" o:hr="t"/>
        </w:pict>
      </w:r>
    </w:p>
    <w:bookmarkEnd w:id="13"/>
    <w:bookmarkStart w:id="14" w:name="forex"/>
    <w:p>
      <w:pPr>
        <w:pStyle w:val="Heading2"/>
      </w:pPr>
      <w:r>
        <w:t xml:space="preserve">Forex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Major currencies</w:t>
      </w:r>
    </w:p>
    <w:p>
      <w:pPr>
        <w:pStyle w:val="BodyText"/>
      </w:pPr>
      <w:r>
        <w:t xml:space="preserve">Currency pairs</w:t>
      </w:r>
    </w:p>
    <w:p>
      <w:r>
        <w:pict>
          <v:rect style="width:0;height:1.5pt" o:hralign="center" o:hrstd="t" o:hr="t"/>
        </w:pict>
      </w:r>
    </w:p>
    <w:bookmarkEnd w:id="14"/>
    <w:bookmarkStart w:id="15" w:name="commodities"/>
    <w:p>
      <w:pPr>
        <w:pStyle w:val="Heading2"/>
      </w:pPr>
      <w:r>
        <w:t xml:space="preserve">Commodities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Gold</w:t>
      </w:r>
    </w:p>
    <w:p>
      <w:pPr>
        <w:pStyle w:val="BodyText"/>
      </w:pPr>
      <w:r>
        <w:t xml:space="preserve">Oil</w:t>
      </w:r>
    </w:p>
    <w:p>
      <w:pPr>
        <w:pStyle w:val="BodyText"/>
      </w:pPr>
      <w:r>
        <w:t xml:space="preserve">Agricultural products</w:t>
      </w:r>
    </w:p>
    <w:p>
      <w:r>
        <w:pict>
          <v:rect style="width:0;height:1.5pt" o:hralign="center" o:hrstd="t" o:hr="t"/>
        </w:pict>
      </w:r>
    </w:p>
    <w:bookmarkEnd w:id="15"/>
    <w:bookmarkStart w:id="16" w:name="crypto"/>
    <w:p>
      <w:pPr>
        <w:pStyle w:val="Heading2"/>
      </w:pPr>
      <w:r>
        <w:t xml:space="preserve">Crypto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Bitcoin</w:t>
      </w:r>
    </w:p>
    <w:p>
      <w:pPr>
        <w:pStyle w:val="BodyText"/>
      </w:pPr>
      <w:r>
        <w:t xml:space="preserve">Ethereum</w:t>
      </w:r>
    </w:p>
    <w:p>
      <w:pPr>
        <w:pStyle w:val="BodyText"/>
      </w:pPr>
      <w:r>
        <w:t xml:space="preserve">Digital assets</w:t>
      </w:r>
    </w:p>
    <w:p>
      <w:r>
        <w:pict>
          <v:rect style="width:0;height:1.5pt" o:hralign="center" o:hrstd="t" o:hr="t"/>
        </w:pict>
      </w:r>
    </w:p>
    <w:bookmarkEnd w:id="16"/>
    <w:bookmarkStart w:id="17" w:name="fixed-income"/>
    <w:p>
      <w:pPr>
        <w:pStyle w:val="Heading2"/>
      </w:pPr>
      <w:r>
        <w:t xml:space="preserve">Fixed Income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Bonds</w:t>
      </w:r>
    </w:p>
    <w:p>
      <w:pPr>
        <w:pStyle w:val="BodyText"/>
      </w:pPr>
      <w:r>
        <w:t xml:space="preserve">Interest rates</w:t>
      </w:r>
    </w:p>
    <w:p>
      <w:pPr>
        <w:pStyle w:val="BodyText"/>
      </w:pPr>
      <w:r>
        <w:t xml:space="preserve">Yield markets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ulti-asset-analysis-pipeline"/>
    <w:p>
      <w:pPr>
        <w:pStyle w:val="Heading1"/>
      </w:pPr>
      <w:r>
        <w:t xml:space="preserve">Multi-Asset Analysis Pipeline</w: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t xml:space="preserve">Market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 Relationship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Correlation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Relative Strength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Explanation Layer</w:t>
      </w:r>
    </w:p>
    <w:p>
      <w:r>
        <w:pict>
          <v:rect style="width:0;height:1.5pt" o:hralign="center" o:hrstd="t" o:hr="t"/>
        </w:pict>
      </w:r>
    </w:p>
    <w:bookmarkEnd w:id="19"/>
    <w:bookmarkStart w:id="20" w:name="asset-relationship-database"/>
    <w:p>
      <w:pPr>
        <w:pStyle w:val="Heading1"/>
      </w:pPr>
      <w:r>
        <w:t xml:space="preserve">1. Asset Relationship Database</w:t>
      </w:r>
    </w:p>
    <w:p>
      <w:pPr>
        <w:pStyle w:val="FirstParagraph"/>
      </w:pPr>
      <w:r>
        <w:t xml:space="preserve">Create relationships between: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Sectors</w:t>
      </w:r>
    </w:p>
    <w:p>
      <w:pPr>
        <w:pStyle w:val="BodyText"/>
      </w:pPr>
      <w:r>
        <w:t xml:space="preserve">Countries</w:t>
      </w:r>
    </w:p>
    <w:p>
      <w:pPr>
        <w:pStyle w:val="BodyText"/>
      </w:pPr>
      <w:r>
        <w:t xml:space="preserve">Markets</w:t>
      </w:r>
    </w:p>
    <w:p>
      <w:pPr>
        <w:pStyle w:val="BodyText"/>
      </w:pPr>
      <w:r>
        <w:t xml:space="preserve">Economic factors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Technology Stocks</w:t>
      </w:r>
    </w:p>
    <w:p>
      <w:pPr>
        <w:pStyle w:val="BodyText"/>
      </w:pPr>
      <w:r>
        <w:t xml:space="preserve">Related:</w:t>
      </w:r>
    </w:p>
    <w:p>
      <w:pPr>
        <w:pStyle w:val="BodyText"/>
      </w:pPr>
      <w:r>
        <w:t xml:space="preserve">NASDAQ</w:t>
      </w:r>
    </w:p>
    <w:p>
      <w:pPr>
        <w:pStyle w:val="BodyText"/>
      </w:pPr>
      <w:r>
        <w:t xml:space="preserve">Interest rates</w:t>
      </w:r>
    </w:p>
    <w:p>
      <w:pPr>
        <w:pStyle w:val="BodyText"/>
      </w:pPr>
      <w:r>
        <w:t xml:space="preserve">Semiconductor sector</w:t>
      </w:r>
    </w:p>
    <w:p>
      <w:r>
        <w:pict>
          <v:rect style="width:0;height:1.5pt" o:hralign="center" o:hrstd="t" o:hr="t"/>
        </w:pict>
      </w:r>
    </w:p>
    <w:bookmarkEnd w:id="20"/>
    <w:bookmarkStart w:id="21" w:name="correlation-analysis-engine"/>
    <w:p>
      <w:pPr>
        <w:pStyle w:val="Heading1"/>
      </w:pPr>
      <w:r>
        <w:t xml:space="preserve">2. Correlation Analysis Engine</w:t>
      </w:r>
    </w:p>
    <w:p>
      <w:pPr>
        <w:pStyle w:val="FirstParagraph"/>
      </w:pPr>
      <w:r>
        <w:t xml:space="preserve">Analyze:</w:t>
      </w:r>
    </w:p>
    <w:p>
      <w:pPr>
        <w:pStyle w:val="BodyText"/>
      </w:pPr>
      <w:r>
        <w:t xml:space="preserve">Price relationships</w:t>
      </w:r>
    </w:p>
    <w:p>
      <w:pPr>
        <w:pStyle w:val="BodyText"/>
      </w:pPr>
      <w:r>
        <w:t xml:space="preserve">Volatility relationships</w:t>
      </w:r>
    </w:p>
    <w:p>
      <w:pPr>
        <w:pStyle w:val="BodyText"/>
      </w:pPr>
      <w:r>
        <w:t xml:space="preserve">Momentum relationships</w:t>
      </w:r>
    </w:p>
    <w:p>
      <w:pPr>
        <w:pStyle w:val="BodyText"/>
      </w:pPr>
      <w:r>
        <w:t xml:space="preserve">Historical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Correlation should be dynamic.</w:t>
      </w:r>
    </w:p>
    <w:p>
      <w:pPr>
        <w:pStyle w:val="BodyText"/>
      </w:pPr>
      <w:r>
        <w:t xml:space="preserve">Relationships change over time.</w:t>
      </w:r>
    </w:p>
    <w:p>
      <w:r>
        <w:pict>
          <v:rect style="width:0;height:1.5pt" o:hralign="center" o:hrstd="t" o:hr="t"/>
        </w:pict>
      </w:r>
    </w:p>
    <w:bookmarkEnd w:id="21"/>
    <w:bookmarkStart w:id="22" w:name="relative-strength-engine"/>
    <w:p>
      <w:pPr>
        <w:pStyle w:val="Heading1"/>
      </w:pPr>
      <w:r>
        <w:t xml:space="preserve">3. Relative Strength Engine</w:t>
      </w:r>
    </w:p>
    <w:p>
      <w:pPr>
        <w:pStyle w:val="FirstParagraph"/>
      </w:pPr>
      <w:r>
        <w:t xml:space="preserve">Compare assets.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“Technology sector is stronger than the broader market.”</w:t>
      </w:r>
    </w:p>
    <w:p>
      <w:pPr>
        <w:pStyle w:val="BodyText"/>
      </w:pPr>
      <w:r>
        <w:t xml:space="preserve">Analyze: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Trend quality</w:t>
      </w:r>
    </w:p>
    <w:p>
      <w:pPr>
        <w:pStyle w:val="BodyText"/>
      </w:pPr>
      <w:r>
        <w:t xml:space="preserve">Participation</w:t>
      </w:r>
    </w:p>
    <w:p>
      <w:r>
        <w:pict>
          <v:rect style="width:0;height:1.5pt" o:hralign="center" o:hrstd="t" o:hr="t"/>
        </w:pict>
      </w:r>
    </w:p>
    <w:bookmarkEnd w:id="22"/>
    <w:bookmarkStart w:id="23" w:name="market-rotation-detection"/>
    <w:p>
      <w:pPr>
        <w:pStyle w:val="Heading1"/>
      </w:pPr>
      <w:r>
        <w:t xml:space="preserve">4. Market Rotation Detection</w:t>
      </w:r>
    </w:p>
    <w:p>
      <w:pPr>
        <w:pStyle w:val="FirstParagraph"/>
      </w:pPr>
      <w:r>
        <w:t xml:space="preserve">Detect movement between:</w:t>
      </w:r>
    </w:p>
    <w:p>
      <w:pPr>
        <w:pStyle w:val="BodyText"/>
      </w:pPr>
      <w:r>
        <w:t xml:space="preserve">Sectors</w:t>
      </w:r>
    </w:p>
    <w:p>
      <w:pPr>
        <w:pStyle w:val="BodyText"/>
      </w:pPr>
      <w:r>
        <w:t xml:space="preserve">Asset classes</w:t>
      </w:r>
    </w:p>
    <w:p>
      <w:pPr>
        <w:pStyle w:val="BodyText"/>
      </w:pPr>
      <w:r>
        <w:t xml:space="preserve">Regions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Growth → Defensive</w:t>
      </w:r>
    </w:p>
    <w:p>
      <w:pPr>
        <w:pStyle w:val="BodyText"/>
      </w:pPr>
      <w:r>
        <w:t xml:space="preserve">Risk assets → Safe assets</w:t>
      </w:r>
    </w:p>
    <w:p>
      <w:r>
        <w:pict>
          <v:rect style="width:0;height:1.5pt" o:hralign="center" o:hrstd="t" o:hr="t"/>
        </w:pict>
      </w:r>
    </w:p>
    <w:bookmarkEnd w:id="23"/>
    <w:bookmarkStart w:id="24" w:name="risk-sentiment-analysis"/>
    <w:p>
      <w:pPr>
        <w:pStyle w:val="Heading1"/>
      </w:pPr>
      <w:r>
        <w:t xml:space="preserve">5. Risk Sentiment Analysis</w:t>
      </w:r>
    </w:p>
    <w:p>
      <w:pPr>
        <w:pStyle w:val="FirstParagraph"/>
      </w:pPr>
      <w:r>
        <w:t xml:space="preserve">Understand:</w:t>
      </w:r>
    </w:p>
    <w:p>
      <w:pPr>
        <w:pStyle w:val="BodyText"/>
      </w:pPr>
      <w:r>
        <w:t xml:space="preserve">Risk-on behavior</w:t>
      </w:r>
    </w:p>
    <w:p>
      <w:pPr>
        <w:pStyle w:val="BodyText"/>
      </w:pPr>
      <w:r>
        <w:t xml:space="preserve">Risk-off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indicators:</w:t>
      </w:r>
    </w:p>
    <w:p>
      <w:pPr>
        <w:pStyle w:val="BodyText"/>
      </w:pPr>
      <w:r>
        <w:t xml:space="preserve">Equity strength</w:t>
      </w:r>
    </w:p>
    <w:p>
      <w:pPr>
        <w:pStyle w:val="BodyText"/>
      </w:pPr>
      <w:r>
        <w:t xml:space="preserve">Currency movement</w:t>
      </w:r>
    </w:p>
    <w:p>
      <w:pPr>
        <w:pStyle w:val="BodyText"/>
      </w:pPr>
      <w:r>
        <w:t xml:space="preserve">Commodity behavior</w:t>
      </w:r>
    </w:p>
    <w:p>
      <w:pPr>
        <w:pStyle w:val="BodyText"/>
      </w:pPr>
      <w:r>
        <w:t xml:space="preserve">Volatility changes</w:t>
      </w:r>
    </w:p>
    <w:p>
      <w:r>
        <w:pict>
          <v:rect style="width:0;height:1.5pt" o:hralign="center" o:hrstd="t" o:hr="t"/>
        </w:pict>
      </w:r>
    </w:p>
    <w:bookmarkEnd w:id="24"/>
    <w:bookmarkStart w:id="25" w:name="cross-market-context"/>
    <w:p>
      <w:pPr>
        <w:pStyle w:val="Heading1"/>
      </w:pPr>
      <w:r>
        <w:t xml:space="preserve">6. Cross-Market Context</w:t>
      </w:r>
    </w:p>
    <w:p>
      <w:pPr>
        <w:pStyle w:val="FirstParagraph"/>
      </w:pPr>
      <w:r>
        <w:t xml:space="preserve">When analyzing an asset:</w:t>
      </w:r>
    </w:p>
    <w:p>
      <w:pPr>
        <w:pStyle w:val="BodyText"/>
      </w:pPr>
      <w:r>
        <w:t xml:space="preserve">Provide broader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Bitcoin analysis:</w:t>
      </w:r>
    </w:p>
    <w:p>
      <w:pPr>
        <w:pStyle w:val="BodyText"/>
      </w:pPr>
      <w:r>
        <w:t xml:space="preserve">Consider:</w:t>
      </w:r>
    </w:p>
    <w:p>
      <w:pPr>
        <w:pStyle w:val="BodyText"/>
      </w:pPr>
      <w:r>
        <w:t xml:space="preserve">Crypto market</w:t>
      </w:r>
    </w:p>
    <w:p>
      <w:pPr>
        <w:pStyle w:val="BodyText"/>
      </w:pPr>
      <w:r>
        <w:t xml:space="preserve">Risk sentiment</w:t>
      </w:r>
    </w:p>
    <w:p>
      <w:pPr>
        <w:pStyle w:val="BodyText"/>
      </w:pPr>
      <w:r>
        <w:t xml:space="preserve">Dollar strength</w:t>
      </w:r>
    </w:p>
    <w:p>
      <w:pPr>
        <w:pStyle w:val="BodyText"/>
      </w:pPr>
      <w:r>
        <w:t xml:space="preserve">Liquidity conditions</w:t>
      </w:r>
    </w:p>
    <w:p>
      <w:r>
        <w:pict>
          <v:rect style="width:0;height:1.5pt" o:hralign="center" o:hrstd="t" o:hr="t"/>
        </w:pict>
      </w:r>
    </w:p>
    <w:bookmarkEnd w:id="25"/>
    <w:bookmarkStart w:id="26" w:name="intermarket-explanation"/>
    <w:p>
      <w:pPr>
        <w:pStyle w:val="Heading1"/>
      </w:pPr>
      <w:r>
        <w:t xml:space="preserve">7. Intermarket Explanation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is gold moving higher?”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“Gold strength is occurring alongside increased defensive demand and changes in currency conditions. However, price evidence remains the primary confirmation.”</w:t>
      </w:r>
    </w:p>
    <w:p>
      <w:r>
        <w:pict>
          <v:rect style="width:0;height:1.5pt" o:hralign="center" o:hrstd="t" o:hr="t"/>
        </w:pict>
      </w:r>
    </w:p>
    <w:bookmarkEnd w:id="26"/>
    <w:bookmarkStart w:id="27" w:name="multi-timeframe-multi-asset-combination"/>
    <w:p>
      <w:pPr>
        <w:pStyle w:val="Heading1"/>
      </w:pPr>
      <w:r>
        <w:t xml:space="preserve">8. Multi-Timeframe + Multi-Asset Combination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Daily stock analysis</w:t>
      </w:r>
    </w:p>
    <w:p>
      <w:pPr>
        <w:pStyle w:val="FirstParagraph"/>
      </w:pPr>
      <w:r>
        <w:t xml:space="preserve">Weekly index context</w:t>
      </w:r>
    </w:p>
    <w:p>
      <w:pPr>
        <w:pStyle w:val="FirstParagraph"/>
      </w:pPr>
      <w:r>
        <w:t xml:space="preserve">Global market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“Individual stock remains strong, but the broader sector is showing weakness.”</w:t>
      </w:r>
    </w:p>
    <w:p>
      <w:r>
        <w:pict>
          <v:rect style="width:0;height:1.5pt" o:hralign="center" o:hrstd="t" o:hr="t"/>
        </w:pict>
      </w:r>
    </w:p>
    <w:bookmarkEnd w:id="27"/>
    <w:bookmarkStart w:id="28" w:name="relationship-confidence"/>
    <w:p>
      <w:pPr>
        <w:pStyle w:val="Heading1"/>
      </w:pPr>
      <w:r>
        <w:t xml:space="preserve">9. Relationship Confidence</w:t>
      </w:r>
    </w:p>
    <w:p>
      <w:pPr>
        <w:pStyle w:val="FirstParagraph"/>
      </w:pPr>
      <w:r>
        <w:t xml:space="preserve">Every relationship should include:</w:t>
      </w:r>
    </w:p>
    <w:p>
      <w:pPr>
        <w:pStyle w:val="BodyText"/>
      </w:pPr>
      <w:r>
        <w:t xml:space="preserve">Strength</w:t>
      </w:r>
    </w:p>
    <w:p>
      <w:pPr>
        <w:pStyle w:val="BodyText"/>
      </w:pPr>
      <w:r>
        <w:t xml:space="preserve">Time period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Limitations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“Gold and currency movement showed a moderate relationship during this period, but relationships may change.”</w:t>
      </w:r>
    </w:p>
    <w:p>
      <w:r>
        <w:pict>
          <v:rect style="width:0;height:1.5pt" o:hralign="center" o:hrstd="t" o:hr="t"/>
        </w:pict>
      </w:r>
    </w:p>
    <w:bookmarkEnd w:id="28"/>
    <w:bookmarkStart w:id="32" w:name="ai-explanation-levels"/>
    <w:p>
      <w:pPr>
        <w:pStyle w:val="Heading1"/>
      </w:pPr>
      <w:r>
        <w:t xml:space="preserve">10. AI Explanation Levels</w:t>
      </w:r>
    </w:p>
    <w:bookmarkStart w:id="29" w:name="beginner"/>
    <w:p>
      <w:pPr>
        <w:pStyle w:val="Heading2"/>
      </w:pPr>
      <w:r>
        <w:t xml:space="preserve">Beginner</w:t>
      </w:r>
    </w:p>
    <w:p>
      <w:pPr>
        <w:pStyle w:val="FirstParagraph"/>
      </w:pPr>
      <w:r>
        <w:t xml:space="preserve">“Markets can influence each other because investors move money between different areas.”</w:t>
      </w:r>
    </w:p>
    <w:p>
      <w:r>
        <w:pict>
          <v:rect style="width:0;height:1.5pt" o:hralign="center" o:hrstd="t" o:hr="t"/>
        </w:pict>
      </w:r>
    </w:p>
    <w:bookmarkEnd w:id="29"/>
    <w:bookmarkStart w:id="30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“Relative strength shows this asset is outperforming its comparison group.”</w:t>
      </w:r>
    </w:p>
    <w:p>
      <w:r>
        <w:pict>
          <v:rect style="width:0;height:1.5pt" o:hralign="center" o:hrstd="t" o:hr="t"/>
        </w:pict>
      </w:r>
    </w:p>
    <w:bookmarkEnd w:id="30"/>
    <w:bookmarkStart w:id="31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“Cross-market confirmation improves contextual understanding but does not guarantee future movement.”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Correlation history</w:t>
      </w:r>
    </w:p>
    <w:p>
      <w:pPr>
        <w:pStyle w:val="BodyText"/>
      </w:pPr>
      <w:r>
        <w:t xml:space="preserve">Relative strength data</w:t>
      </w:r>
    </w:p>
    <w:p>
      <w:pPr>
        <w:pStyle w:val="BodyText"/>
      </w:pPr>
      <w:r>
        <w:t xml:space="preserve">Market regimes</w:t>
      </w:r>
    </w:p>
    <w:p>
      <w:pPr>
        <w:pStyle w:val="BodyText"/>
      </w:pPr>
      <w:r>
        <w:t xml:space="preserve">Cross-market events</w:t>
      </w:r>
    </w:p>
    <w:p>
      <w:r>
        <w:pict>
          <v:rect style="width:0;height:1.5pt" o:hralign="center" o:hrstd="t" o:hr="t"/>
        </w:pict>
      </w:r>
    </w:p>
    <w:bookmarkEnd w:id="33"/>
    <w:bookmarkStart w:id="34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Compare assets</w:t>
      </w:r>
    </w:p>
    <w:p>
      <w:pPr>
        <w:pStyle w:val="BodyText"/>
      </w:pPr>
      <w:r>
        <w:t xml:space="preserve">Get correlations</w:t>
      </w:r>
    </w:p>
    <w:p>
      <w:pPr>
        <w:pStyle w:val="BodyText"/>
      </w:pPr>
      <w:r>
        <w:t xml:space="preserve">Analyze market relationships</w:t>
      </w:r>
    </w:p>
    <w:p>
      <w:pPr>
        <w:pStyle w:val="BodyText"/>
      </w:pPr>
      <w:r>
        <w:t xml:space="preserve">Retrieve sector strength</w:t>
      </w:r>
    </w:p>
    <w:p>
      <w:pPr>
        <w:pStyle w:val="BodyText"/>
      </w:pPr>
      <w:r>
        <w:t xml:space="preserve">Generate intermarket explanation</w:t>
      </w:r>
    </w:p>
    <w:p>
      <w:r>
        <w:pict>
          <v:rect style="width:0;height:1.5pt" o:hralign="center" o:hrstd="t" o:hr="t"/>
        </w:pict>
      </w:r>
    </w:p>
    <w:bookmarkEnd w:id="34"/>
    <w:bookmarkStart w:id="35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Market Data Infrastructure Engine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Real-Time Analysis Engine</w:t>
      </w:r>
    </w:p>
    <w:p>
      <w:pPr>
        <w:pStyle w:val="BodyText"/>
      </w:pPr>
      <w:r>
        <w:t xml:space="preserve">Risk &amp; Uncertainty Engine</w:t>
      </w:r>
    </w:p>
    <w:p>
      <w:pPr>
        <w:pStyle w:val="BodyText"/>
      </w:pPr>
      <w:r>
        <w:t xml:space="preserve">News &amp; Market Context Engine</w:t>
      </w:r>
    </w:p>
    <w:p>
      <w:pPr>
        <w:pStyle w:val="BodyText"/>
      </w:pPr>
      <w:r>
        <w:t xml:space="preserve">Market Psychology Engine</w:t>
      </w:r>
    </w:p>
    <w:p>
      <w:r>
        <w:pict>
          <v:rect style="width:0;height:1.5pt" o:hralign="center" o:hrstd="t" o:hr="t"/>
        </w:pict>
      </w:r>
    </w:p>
    <w:bookmarkEnd w:id="35"/>
    <w:bookmarkStart w:id="36" w:name="chart-integration"/>
    <w:p>
      <w:pPr>
        <w:pStyle w:val="Heading1"/>
      </w:pPr>
      <w:r>
        <w:t xml:space="preserve">Chart Integration</w:t>
      </w:r>
    </w:p>
    <w:p>
      <w:pPr>
        <w:pStyle w:val="FirstParagraph"/>
      </w:pPr>
      <w:r>
        <w:t xml:space="preserve">Allow users to view: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Correlation charts</w:t>
      </w:r>
    </w:p>
    <w:p>
      <w:pPr>
        <w:pStyle w:val="BodyText"/>
      </w:pPr>
      <w:r>
        <w:t xml:space="preserve">Strength comparison</w:t>
      </w:r>
    </w:p>
    <w:p>
      <w:pPr>
        <w:pStyle w:val="BodyText"/>
      </w:pPr>
      <w:r>
        <w:t xml:space="preserve">Market context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Thousands of assets</w:t>
      </w:r>
    </w:p>
    <w:p>
      <w:pPr>
        <w:pStyle w:val="BodyText"/>
      </w:pPr>
      <w:r>
        <w:t xml:space="preserve">Real-time updates</w:t>
      </w:r>
    </w:p>
    <w:p>
      <w:pPr>
        <w:pStyle w:val="BodyText"/>
      </w:pPr>
      <w:r>
        <w:t xml:space="preserve">Historical calculations</w:t>
      </w:r>
    </w:p>
    <w:p>
      <w:pPr>
        <w:pStyle w:val="BodyText"/>
      </w:pPr>
      <w:r>
        <w:t xml:space="preserve">Large relationship networks</w:t>
      </w:r>
    </w:p>
    <w:p>
      <w:r>
        <w:pict>
          <v:rect style="width:0;height:1.5pt" o:hralign="center" o:hrstd="t" o:hr="t"/>
        </w:pict>
      </w:r>
    </w:p>
    <w:bookmarkEnd w:id="37"/>
    <w:bookmarkStart w:id="38" w:name="risk-controls"/>
    <w:p>
      <w:pPr>
        <w:pStyle w:val="Heading1"/>
      </w:pPr>
      <w:r>
        <w:t xml:space="preserve">Risk Controls</w:t>
      </w:r>
    </w:p>
    <w:p>
      <w:pPr>
        <w:pStyle w:val="FirstParagraph"/>
      </w:pPr>
      <w:r>
        <w:t xml:space="preserve">The system must avoid:</w:t>
      </w:r>
    </w:p>
    <w:p>
      <w:pPr>
        <w:pStyle w:val="BodyText"/>
      </w:pPr>
      <w:r>
        <w:t xml:space="preserve">Correlation = prediction</w:t>
      </w:r>
    </w:p>
    <w:p>
      <w:pPr>
        <w:pStyle w:val="BodyText"/>
      </w:pPr>
      <w:r>
        <w:t xml:space="preserve">False causation claims</w:t>
      </w:r>
    </w:p>
    <w:p>
      <w:pPr>
        <w:pStyle w:val="BodyText"/>
      </w:pPr>
      <w:r>
        <w:t xml:space="preserve">Overcomplicated explanations</w:t>
      </w:r>
    </w:p>
    <w:p>
      <w:r>
        <w:pict>
          <v:rect style="width:0;height:1.5pt" o:hralign="center" o:hrstd="t" o:hr="t"/>
        </w:pict>
      </w:r>
    </w:p>
    <w:bookmarkEnd w:id="38"/>
    <w:bookmarkStart w:id="39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6"/>
        </w:numPr>
      </w:pPr>
      <w:r>
        <w:t xml:space="preserve">Global macro intelligence</w:t>
      </w:r>
    </w:p>
    <w:p>
      <w:pPr>
        <w:pStyle w:val="Compact"/>
        <w:numPr>
          <w:ilvl w:val="0"/>
          <w:numId w:val="1006"/>
        </w:numPr>
      </w:pPr>
      <w:r>
        <w:t xml:space="preserve">Portfolio analysis</w:t>
      </w:r>
    </w:p>
    <w:p>
      <w:pPr>
        <w:pStyle w:val="Compact"/>
        <w:numPr>
          <w:ilvl w:val="0"/>
          <w:numId w:val="1006"/>
        </w:numPr>
      </w:pPr>
      <w:r>
        <w:t xml:space="preserve">Institutional dashboards</w:t>
      </w:r>
    </w:p>
    <w:p>
      <w:pPr>
        <w:pStyle w:val="Compact"/>
        <w:numPr>
          <w:ilvl w:val="0"/>
          <w:numId w:val="1006"/>
        </w:numPr>
      </w:pPr>
      <w:r>
        <w:t xml:space="preserve">Economic regime detection</w:t>
      </w:r>
    </w:p>
    <w:p>
      <w:pPr>
        <w:pStyle w:val="Compact"/>
        <w:numPr>
          <w:ilvl w:val="0"/>
          <w:numId w:val="1006"/>
        </w:numPr>
      </w:pPr>
      <w:r>
        <w:t xml:space="preserve">AI market maps</w:t>
      </w:r>
    </w:p>
    <w:p>
      <w:r>
        <w:pict>
          <v:rect style="width:0;height:1.5pt" o:hralign="center" o:hrstd="t" o:hr="t"/>
        </w:pict>
      </w:r>
    </w:p>
    <w:bookmarkEnd w:id="39"/>
    <w:bookmarkStart w:id="40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Multi-Asset Intelligence Engine should help users understand:</w:t>
      </w:r>
    </w:p>
    <w:p>
      <w:pPr>
        <w:pStyle w:val="BodyText"/>
      </w:pPr>
      <w:r>
        <w:t xml:space="preserve">“The market is not a collection of separate charts.</w:t>
      </w:r>
    </w:p>
    <w:p>
      <w:pPr>
        <w:pStyle w:val="BodyText"/>
      </w:pPr>
      <w:r>
        <w:t xml:space="preserve">It is a connected ecosystem where different participants, assets, and forces interact.”</w:t>
      </w:r>
    </w:p>
    <w:p>
      <w:pPr>
        <w:pStyle w:val="BodyText"/>
      </w:pPr>
      <w:r>
        <w:t xml:space="preserve">MLAI becomes a complete market interpreter.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