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3310FE" w14:textId="212CD681" w:rsidR="00B73337" w:rsidRPr="00B73337" w:rsidRDefault="00B73337" w:rsidP="00B7333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heme="majorHAnsi" w:hAnsiTheme="majorHAnsi" w:cs="Helvetica"/>
          <w:color w:val="1A1818"/>
          <w:kern w:val="0"/>
          <w:u w:val="single"/>
        </w:rPr>
      </w:pPr>
      <w:r w:rsidRPr="00B73337">
        <w:rPr>
          <w:rFonts w:asciiTheme="majorHAnsi" w:hAnsiTheme="majorHAnsi"/>
          <w:b/>
          <w:bCs/>
          <w:u w:val="single"/>
        </w:rPr>
        <w:t>Paper:</w:t>
      </w:r>
      <w:r w:rsidRPr="00B73337">
        <w:rPr>
          <w:rFonts w:asciiTheme="majorHAnsi" w:hAnsiTheme="majorHAnsi"/>
          <w:u w:val="single"/>
        </w:rPr>
        <w:t xml:space="preserve"> </w:t>
      </w:r>
      <w:r w:rsidRPr="00B73337">
        <w:rPr>
          <w:rFonts w:asciiTheme="majorHAnsi" w:hAnsiTheme="majorHAnsi" w:cs="Helvetica"/>
          <w:color w:val="1A1818"/>
          <w:kern w:val="0"/>
          <w:u w:val="single"/>
        </w:rPr>
        <w:t>Way Down in the Hole: Adaptation to Long-Term</w:t>
      </w:r>
      <w:r w:rsidRPr="00B73337">
        <w:rPr>
          <w:rFonts w:asciiTheme="majorHAnsi" w:hAnsiTheme="majorHAnsi" w:cs="Helvetica"/>
          <w:color w:val="1A1818"/>
          <w:kern w:val="0"/>
          <w:u w:val="single"/>
        </w:rPr>
        <w:t xml:space="preserve"> </w:t>
      </w:r>
      <w:r w:rsidRPr="00B73337">
        <w:rPr>
          <w:rFonts w:asciiTheme="majorHAnsi" w:hAnsiTheme="majorHAnsi" w:cs="Helvetica"/>
          <w:color w:val="1A1818"/>
          <w:kern w:val="0"/>
          <w:u w:val="single"/>
        </w:rPr>
        <w:t>Water Loss in Rural India</w:t>
      </w:r>
    </w:p>
    <w:p w14:paraId="141FE280" w14:textId="77777777" w:rsidR="00B73337" w:rsidRPr="00B73337" w:rsidRDefault="00B73337" w:rsidP="00B73337">
      <w:pPr>
        <w:pStyle w:val="p1"/>
        <w:jc w:val="both"/>
        <w:rPr>
          <w:rFonts w:asciiTheme="majorHAnsi" w:hAnsiTheme="majorHAnsi"/>
          <w:sz w:val="24"/>
          <w:szCs w:val="24"/>
          <w:u w:val="single"/>
        </w:rPr>
      </w:pPr>
    </w:p>
    <w:p w14:paraId="26411681" w14:textId="6C709EC9" w:rsidR="00B73337" w:rsidRPr="00B73337" w:rsidRDefault="00B73337" w:rsidP="00B73337">
      <w:pPr>
        <w:pStyle w:val="p1"/>
        <w:jc w:val="both"/>
        <w:rPr>
          <w:rFonts w:asciiTheme="majorHAnsi" w:hAnsiTheme="majorHAnsi"/>
          <w:sz w:val="24"/>
          <w:szCs w:val="24"/>
          <w:u w:val="single"/>
        </w:rPr>
      </w:pPr>
      <w:r w:rsidRPr="00B73337">
        <w:rPr>
          <w:rFonts w:asciiTheme="majorHAnsi" w:hAnsiTheme="majorHAnsi"/>
          <w:b/>
          <w:bCs/>
          <w:sz w:val="24"/>
          <w:szCs w:val="24"/>
          <w:u w:val="single"/>
        </w:rPr>
        <w:t>Link:</w:t>
      </w:r>
      <w:r w:rsidRPr="00B73337">
        <w:rPr>
          <w:rFonts w:asciiTheme="majorHAnsi" w:hAnsiTheme="majorHAnsi"/>
          <w:sz w:val="24"/>
          <w:szCs w:val="24"/>
          <w:u w:val="single"/>
        </w:rPr>
        <w:t xml:space="preserve"> (https://www.aeaweb.org/articles?id=10.1257/aer.20180976)</w:t>
      </w:r>
    </w:p>
    <w:p w14:paraId="31E2DCB0" w14:textId="63C05C83" w:rsidR="00B73337" w:rsidRDefault="00B73337"/>
    <w:p w14:paraId="04D5EB4B" w14:textId="634FD448" w:rsidR="001F5D63" w:rsidRPr="001F5D63" w:rsidRDefault="00B73337" w:rsidP="000836E7">
      <w:pPr>
        <w:pStyle w:val="p1"/>
        <w:rPr>
          <w:rFonts w:asciiTheme="majorHAnsi" w:hAnsiTheme="majorHAnsi"/>
          <w:color w:val="1A1818"/>
          <w:sz w:val="24"/>
          <w:szCs w:val="24"/>
        </w:rPr>
      </w:pPr>
      <w:r w:rsidRPr="000836E7">
        <w:rPr>
          <w:rFonts w:asciiTheme="majorHAnsi" w:hAnsiTheme="majorHAnsi"/>
          <w:sz w:val="24"/>
          <w:szCs w:val="24"/>
        </w:rPr>
        <w:t xml:space="preserve">This paper looks at Karnataka region in India to focus on the question of how a region might be affected given there is water scarcity. Karnataka has Hardrock aquifers which makes it hard to assume the pockets where the water might be and second would have an expensive cost to dig far enough to get better water supply. </w:t>
      </w:r>
      <w:r w:rsidR="000836E7" w:rsidRPr="000836E7">
        <w:rPr>
          <w:rFonts w:asciiTheme="majorHAnsi" w:hAnsiTheme="majorHAnsi"/>
          <w:sz w:val="24"/>
          <w:szCs w:val="24"/>
        </w:rPr>
        <w:t xml:space="preserve">Using Karnataka, the paper looks at how members of region might adapt to resource challenges farmers may face. </w:t>
      </w:r>
      <w:r w:rsidR="001F5D63" w:rsidRPr="000836E7">
        <w:rPr>
          <w:rFonts w:asciiTheme="majorHAnsi" w:hAnsiTheme="majorHAnsi"/>
          <w:sz w:val="24"/>
          <w:szCs w:val="24"/>
        </w:rPr>
        <w:t xml:space="preserve">The study gets it data from a </w:t>
      </w:r>
      <w:r w:rsidR="001F5D63" w:rsidRPr="000836E7">
        <w:rPr>
          <w:rFonts w:asciiTheme="majorHAnsi" w:hAnsiTheme="majorHAnsi"/>
          <w:color w:val="1A1818"/>
          <w:sz w:val="24"/>
          <w:szCs w:val="24"/>
        </w:rPr>
        <w:t>random</w:t>
      </w:r>
      <w:r w:rsidR="001F5D63" w:rsidRPr="001F5D63">
        <w:rPr>
          <w:rFonts w:asciiTheme="majorHAnsi" w:hAnsiTheme="majorHAnsi"/>
          <w:color w:val="1A1818"/>
          <w:sz w:val="24"/>
          <w:szCs w:val="24"/>
        </w:rPr>
        <w:t xml:space="preserve"> household survey in 102 villages </w:t>
      </w:r>
      <w:r w:rsidR="001F5D63" w:rsidRPr="000836E7">
        <w:rPr>
          <w:rFonts w:asciiTheme="majorHAnsi" w:hAnsiTheme="majorHAnsi"/>
          <w:color w:val="1A1818"/>
          <w:sz w:val="24"/>
          <w:szCs w:val="24"/>
        </w:rPr>
        <w:t xml:space="preserve">of </w:t>
      </w:r>
      <w:r w:rsidR="001F5D63" w:rsidRPr="001F5D63">
        <w:rPr>
          <w:rFonts w:asciiTheme="majorHAnsi" w:hAnsiTheme="majorHAnsi"/>
          <w:color w:val="1A1818"/>
          <w:sz w:val="24"/>
          <w:szCs w:val="24"/>
        </w:rPr>
        <w:t>the 31 subdistricts along Karnataka’s eastern border that are not served</w:t>
      </w:r>
      <w:r w:rsidR="000836E7" w:rsidRPr="000836E7">
        <w:rPr>
          <w:rFonts w:asciiTheme="majorHAnsi" w:hAnsiTheme="majorHAnsi"/>
          <w:color w:val="1A1818"/>
          <w:sz w:val="24"/>
          <w:szCs w:val="24"/>
        </w:rPr>
        <w:t xml:space="preserve"> </w:t>
      </w:r>
      <w:r w:rsidR="001F5D63" w:rsidRPr="001F5D63">
        <w:rPr>
          <w:rFonts w:asciiTheme="majorHAnsi" w:hAnsiTheme="majorHAnsi"/>
          <w:color w:val="1A1818"/>
          <w:sz w:val="24"/>
          <w:szCs w:val="24"/>
        </w:rPr>
        <w:t>by surface irrigation</w:t>
      </w:r>
      <w:r w:rsidR="001F5D63" w:rsidRPr="000836E7">
        <w:rPr>
          <w:rFonts w:asciiTheme="majorHAnsi" w:hAnsiTheme="majorHAnsi"/>
          <w:color w:val="1A1818"/>
          <w:sz w:val="24"/>
          <w:szCs w:val="24"/>
        </w:rPr>
        <w:t xml:space="preserve">. The paper states that with lack of access to water, a household can mitigate the lack of income through reallocation of work type. This paper was chosen to see an example of climate change affecting regular life. </w:t>
      </w:r>
    </w:p>
    <w:p w14:paraId="4710FFBB" w14:textId="1DB06262" w:rsidR="00B73337" w:rsidRDefault="00B73337"/>
    <w:p w14:paraId="70784FCB" w14:textId="4F8B9784" w:rsidR="001F5D63" w:rsidRPr="0003620B" w:rsidRDefault="001F5D63" w:rsidP="001F5D6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heme="majorHAnsi" w:hAnsiTheme="majorHAnsi" w:cs="Helvetica"/>
          <w:color w:val="1A1818"/>
          <w:kern w:val="0"/>
          <w:u w:val="single"/>
        </w:rPr>
      </w:pPr>
      <w:r w:rsidRPr="0003620B">
        <w:rPr>
          <w:rFonts w:asciiTheme="majorHAnsi" w:hAnsiTheme="majorHAnsi"/>
          <w:b/>
          <w:bCs/>
          <w:u w:val="single"/>
        </w:rPr>
        <w:t>Paper:</w:t>
      </w:r>
      <w:r w:rsidRPr="0003620B">
        <w:rPr>
          <w:rFonts w:asciiTheme="majorHAnsi" w:hAnsiTheme="majorHAnsi"/>
          <w:u w:val="single"/>
        </w:rPr>
        <w:t xml:space="preserve"> </w:t>
      </w:r>
      <w:r w:rsidR="0003620B" w:rsidRPr="0003620B">
        <w:rPr>
          <w:rFonts w:asciiTheme="majorHAnsi" w:hAnsiTheme="majorHAnsi"/>
          <w:u w:val="single"/>
        </w:rPr>
        <w:t>OECD Economic Outlook, Interim Report Finding the Right Balance in Uncertain Times</w:t>
      </w:r>
    </w:p>
    <w:p w14:paraId="529A0672" w14:textId="77777777" w:rsidR="001F5D63" w:rsidRPr="00B73337" w:rsidRDefault="001F5D63" w:rsidP="001F5D63">
      <w:pPr>
        <w:pStyle w:val="p1"/>
        <w:jc w:val="both"/>
        <w:rPr>
          <w:rFonts w:asciiTheme="majorHAnsi" w:hAnsiTheme="majorHAnsi"/>
          <w:sz w:val="24"/>
          <w:szCs w:val="24"/>
          <w:u w:val="single"/>
        </w:rPr>
      </w:pPr>
    </w:p>
    <w:p w14:paraId="79F62C3C" w14:textId="12B9D7E5" w:rsidR="001F5D63" w:rsidRDefault="001F5D63" w:rsidP="001F5D63">
      <w:pPr>
        <w:pStyle w:val="p1"/>
        <w:jc w:val="both"/>
        <w:rPr>
          <w:rFonts w:asciiTheme="majorHAnsi" w:hAnsiTheme="majorHAnsi"/>
          <w:sz w:val="24"/>
          <w:szCs w:val="24"/>
          <w:u w:val="single"/>
        </w:rPr>
      </w:pPr>
      <w:r w:rsidRPr="0003620B">
        <w:rPr>
          <w:rFonts w:asciiTheme="majorHAnsi" w:hAnsiTheme="majorHAnsi"/>
          <w:b/>
          <w:bCs/>
          <w:sz w:val="24"/>
          <w:szCs w:val="24"/>
          <w:u w:val="single"/>
        </w:rPr>
        <w:t>Link:</w:t>
      </w:r>
      <w:r w:rsidRPr="0003620B">
        <w:rPr>
          <w:rFonts w:asciiTheme="majorHAnsi" w:hAnsiTheme="majorHAnsi"/>
          <w:sz w:val="24"/>
          <w:szCs w:val="24"/>
          <w:u w:val="single"/>
        </w:rPr>
        <w:t xml:space="preserve"> (</w:t>
      </w:r>
      <w:hyperlink r:id="rId4" w:history="1">
        <w:r w:rsidR="0003620B" w:rsidRPr="00C86002">
          <w:rPr>
            <w:rStyle w:val="Hyperlink"/>
            <w:rFonts w:asciiTheme="majorHAnsi" w:hAnsiTheme="majorHAnsi"/>
            <w:sz w:val="24"/>
            <w:szCs w:val="24"/>
          </w:rPr>
          <w:t>https://www.aeaweb.org/articles?id=10.1257/aer.20180976</w:t>
        </w:r>
      </w:hyperlink>
      <w:r w:rsidRPr="0003620B">
        <w:rPr>
          <w:rFonts w:asciiTheme="majorHAnsi" w:hAnsiTheme="majorHAnsi"/>
          <w:sz w:val="24"/>
          <w:szCs w:val="24"/>
          <w:u w:val="single"/>
        </w:rPr>
        <w:t>)</w:t>
      </w:r>
    </w:p>
    <w:p w14:paraId="794AE431" w14:textId="77777777" w:rsidR="0003620B" w:rsidRDefault="0003620B" w:rsidP="001F5D63">
      <w:pPr>
        <w:pStyle w:val="p1"/>
        <w:jc w:val="both"/>
        <w:rPr>
          <w:rFonts w:asciiTheme="majorHAnsi" w:hAnsiTheme="majorHAnsi"/>
          <w:sz w:val="24"/>
          <w:szCs w:val="24"/>
          <w:u w:val="single"/>
        </w:rPr>
      </w:pPr>
    </w:p>
    <w:p w14:paraId="7FC4ABAB" w14:textId="77777777" w:rsidR="003C2D1B" w:rsidRDefault="0003620B" w:rsidP="001F5D63">
      <w:pPr>
        <w:pStyle w:val="p1"/>
        <w:jc w:val="both"/>
      </w:pPr>
      <w:r>
        <w:rPr>
          <w:rFonts w:asciiTheme="majorHAnsi" w:hAnsiTheme="majorHAnsi"/>
          <w:sz w:val="24"/>
          <w:szCs w:val="24"/>
        </w:rPr>
        <w:t>This paper looks at potential global growth slow down. In 2025 we were support by front loading to mitigate the immediate risk of the high tariff</w:t>
      </w:r>
      <w:r w:rsidR="003C2D1B">
        <w:rPr>
          <w:rFonts w:asciiTheme="majorHAnsi" w:hAnsiTheme="majorHAnsi"/>
          <w:sz w:val="24"/>
          <w:szCs w:val="24"/>
        </w:rPr>
        <w:t>, as we can see in increase in trade till April before a fall</w:t>
      </w:r>
      <w:r>
        <w:rPr>
          <w:rFonts w:asciiTheme="majorHAnsi" w:hAnsiTheme="majorHAnsi"/>
          <w:sz w:val="24"/>
          <w:szCs w:val="24"/>
        </w:rPr>
        <w:t xml:space="preserve">. </w:t>
      </w:r>
      <w:r w:rsidR="003C2D1B">
        <w:rPr>
          <w:rFonts w:asciiTheme="majorHAnsi" w:hAnsiTheme="majorHAnsi"/>
          <w:sz w:val="24"/>
          <w:szCs w:val="24"/>
        </w:rPr>
        <w:t xml:space="preserve">Subsequently after April, we see drop in trade and imports.  </w:t>
      </w:r>
      <w:r>
        <w:rPr>
          <w:rFonts w:asciiTheme="majorHAnsi" w:hAnsiTheme="majorHAnsi"/>
          <w:sz w:val="24"/>
          <w:szCs w:val="24"/>
        </w:rPr>
        <w:t xml:space="preserve"> U.S. economic growth is expected to fall from </w:t>
      </w:r>
      <w:r>
        <w:t>2.8% in 2024 to 1.8% in 2025 and 1.5% in 2026</w:t>
      </w:r>
      <w:r>
        <w:t xml:space="preserve">. </w:t>
      </w:r>
      <w:r>
        <w:t>Global GDP growth is projected to decrease from 3.3% in 2024, to 3.2% in 2025 and 2.9% in 2026</w:t>
      </w:r>
      <w:r>
        <w:t xml:space="preserve">. </w:t>
      </w:r>
      <w:r w:rsidR="003C2D1B">
        <w:t>This also mean that inflation will potentially decrease thought we should watch out for food inflation. Investment in strong technology also boosted the market activity in 2025.</w:t>
      </w:r>
    </w:p>
    <w:p w14:paraId="4BF52BA0" w14:textId="77777777" w:rsidR="003C2D1B" w:rsidRDefault="003C2D1B" w:rsidP="001F5D63">
      <w:pPr>
        <w:pStyle w:val="p1"/>
        <w:jc w:val="both"/>
      </w:pPr>
    </w:p>
    <w:p w14:paraId="42641917" w14:textId="3C542283" w:rsidR="0003620B" w:rsidRPr="0003620B" w:rsidRDefault="003C2D1B" w:rsidP="001F5D63">
      <w:pPr>
        <w:pStyle w:val="p1"/>
        <w:jc w:val="both"/>
        <w:rPr>
          <w:rFonts w:asciiTheme="majorHAnsi" w:hAnsiTheme="majorHAnsi"/>
          <w:sz w:val="24"/>
          <w:szCs w:val="24"/>
        </w:rPr>
      </w:pPr>
      <w:r>
        <w:t xml:space="preserve">This paper was looked at to see the current market trend to see if we see a reason to compare current market to the Gilded </w:t>
      </w:r>
      <w:r w:rsidR="00E767F9">
        <w:t>Age. With tariffs, change in the generational wealth and over appreciation of technological growth, the question was if we can use current trend with the trend during the gilded age to predict our current market cycle.</w:t>
      </w:r>
    </w:p>
    <w:p w14:paraId="31E6C601" w14:textId="2E4A38F8" w:rsidR="001F5D63" w:rsidRDefault="001F5D63" w:rsidP="001F5D63"/>
    <w:sectPr w:rsidR="001F5D6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Helvetica Neue">
    <w:panose1 w:val="02000503000000020004"/>
    <w:charset w:val="00"/>
    <w:family w:val="auto"/>
    <w:pitch w:val="variable"/>
    <w:sig w:usb0="E50002FF" w:usb1="500079DB" w:usb2="00000010" w:usb3="00000000" w:csb0="00000001" w:csb1="00000000"/>
  </w:font>
  <w:font w:name="Helvetica">
    <w:panose1 w:val="00000000000000000000"/>
    <w:charset w:val="00"/>
    <w:family w:val="auto"/>
    <w:pitch w:val="variable"/>
    <w:sig w:usb0="E00002FF" w:usb1="5000785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3337"/>
    <w:rsid w:val="0003620B"/>
    <w:rsid w:val="000836E7"/>
    <w:rsid w:val="001F5D63"/>
    <w:rsid w:val="003C2D1B"/>
    <w:rsid w:val="00B71F8D"/>
    <w:rsid w:val="00B73337"/>
    <w:rsid w:val="00E767F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EBDA440"/>
  <w15:chartTrackingRefBased/>
  <w15:docId w15:val="{15E84C88-7478-B54C-866F-F101DDCFF6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7333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7333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7333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7333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7333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7333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7333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7333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7333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33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7333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7333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7333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7333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7333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7333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7333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73337"/>
    <w:rPr>
      <w:rFonts w:eastAsiaTheme="majorEastAsia" w:cstheme="majorBidi"/>
      <w:color w:val="272727" w:themeColor="text1" w:themeTint="D8"/>
    </w:rPr>
  </w:style>
  <w:style w:type="paragraph" w:styleId="Title">
    <w:name w:val="Title"/>
    <w:basedOn w:val="Normal"/>
    <w:next w:val="Normal"/>
    <w:link w:val="TitleChar"/>
    <w:uiPriority w:val="10"/>
    <w:qFormat/>
    <w:rsid w:val="00B7333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7333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7333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7333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73337"/>
    <w:pPr>
      <w:spacing w:before="160"/>
      <w:jc w:val="center"/>
    </w:pPr>
    <w:rPr>
      <w:i/>
      <w:iCs/>
      <w:color w:val="404040" w:themeColor="text1" w:themeTint="BF"/>
    </w:rPr>
  </w:style>
  <w:style w:type="character" w:customStyle="1" w:styleId="QuoteChar">
    <w:name w:val="Quote Char"/>
    <w:basedOn w:val="DefaultParagraphFont"/>
    <w:link w:val="Quote"/>
    <w:uiPriority w:val="29"/>
    <w:rsid w:val="00B73337"/>
    <w:rPr>
      <w:i/>
      <w:iCs/>
      <w:color w:val="404040" w:themeColor="text1" w:themeTint="BF"/>
    </w:rPr>
  </w:style>
  <w:style w:type="paragraph" w:styleId="ListParagraph">
    <w:name w:val="List Paragraph"/>
    <w:basedOn w:val="Normal"/>
    <w:uiPriority w:val="34"/>
    <w:qFormat/>
    <w:rsid w:val="00B73337"/>
    <w:pPr>
      <w:ind w:left="720"/>
      <w:contextualSpacing/>
    </w:pPr>
  </w:style>
  <w:style w:type="character" w:styleId="IntenseEmphasis">
    <w:name w:val="Intense Emphasis"/>
    <w:basedOn w:val="DefaultParagraphFont"/>
    <w:uiPriority w:val="21"/>
    <w:qFormat/>
    <w:rsid w:val="00B73337"/>
    <w:rPr>
      <w:i/>
      <w:iCs/>
      <w:color w:val="0F4761" w:themeColor="accent1" w:themeShade="BF"/>
    </w:rPr>
  </w:style>
  <w:style w:type="paragraph" w:styleId="IntenseQuote">
    <w:name w:val="Intense Quote"/>
    <w:basedOn w:val="Normal"/>
    <w:next w:val="Normal"/>
    <w:link w:val="IntenseQuoteChar"/>
    <w:uiPriority w:val="30"/>
    <w:qFormat/>
    <w:rsid w:val="00B7333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73337"/>
    <w:rPr>
      <w:i/>
      <w:iCs/>
      <w:color w:val="0F4761" w:themeColor="accent1" w:themeShade="BF"/>
    </w:rPr>
  </w:style>
  <w:style w:type="character" w:styleId="IntenseReference">
    <w:name w:val="Intense Reference"/>
    <w:basedOn w:val="DefaultParagraphFont"/>
    <w:uiPriority w:val="32"/>
    <w:qFormat/>
    <w:rsid w:val="00B73337"/>
    <w:rPr>
      <w:b/>
      <w:bCs/>
      <w:smallCaps/>
      <w:color w:val="0F4761" w:themeColor="accent1" w:themeShade="BF"/>
      <w:spacing w:val="5"/>
    </w:rPr>
  </w:style>
  <w:style w:type="paragraph" w:customStyle="1" w:styleId="p1">
    <w:name w:val="p1"/>
    <w:basedOn w:val="Normal"/>
    <w:rsid w:val="00B73337"/>
    <w:pPr>
      <w:spacing w:after="0" w:line="240" w:lineRule="auto"/>
    </w:pPr>
    <w:rPr>
      <w:rFonts w:ascii="Helvetica Neue" w:eastAsia="Times New Roman" w:hAnsi="Helvetica Neue" w:cs="Times New Roman"/>
      <w:color w:val="000000"/>
      <w:kern w:val="0"/>
      <w:sz w:val="21"/>
      <w:szCs w:val="21"/>
      <w14:ligatures w14:val="none"/>
    </w:rPr>
  </w:style>
  <w:style w:type="character" w:styleId="Hyperlink">
    <w:name w:val="Hyperlink"/>
    <w:basedOn w:val="DefaultParagraphFont"/>
    <w:uiPriority w:val="99"/>
    <w:unhideWhenUsed/>
    <w:rsid w:val="0003620B"/>
    <w:rPr>
      <w:color w:val="467886" w:themeColor="hyperlink"/>
      <w:u w:val="single"/>
    </w:rPr>
  </w:style>
  <w:style w:type="character" w:styleId="UnresolvedMention">
    <w:name w:val="Unresolved Mention"/>
    <w:basedOn w:val="DefaultParagraphFont"/>
    <w:uiPriority w:val="99"/>
    <w:semiHidden/>
    <w:unhideWhenUsed/>
    <w:rsid w:val="0003620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37407535">
      <w:bodyDiv w:val="1"/>
      <w:marLeft w:val="0"/>
      <w:marRight w:val="0"/>
      <w:marTop w:val="0"/>
      <w:marBottom w:val="0"/>
      <w:divBdr>
        <w:top w:val="none" w:sz="0" w:space="0" w:color="auto"/>
        <w:left w:val="none" w:sz="0" w:space="0" w:color="auto"/>
        <w:bottom w:val="none" w:sz="0" w:space="0" w:color="auto"/>
        <w:right w:val="none" w:sz="0" w:space="0" w:color="auto"/>
      </w:divBdr>
    </w:div>
    <w:div w:id="15720370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www.aeaweb.org/articles?id=10.1257/aer.2018097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35</TotalTime>
  <Pages>1</Pages>
  <Words>323</Words>
  <Characters>1845</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shannon urabe</dc:creator>
  <cp:keywords/>
  <dc:description/>
  <cp:lastModifiedBy>shannon urabe</cp:lastModifiedBy>
  <cp:revision>1</cp:revision>
  <dcterms:created xsi:type="dcterms:W3CDTF">2025-11-07T03:44:00Z</dcterms:created>
  <dcterms:modified xsi:type="dcterms:W3CDTF">2025-11-07T05:26:00Z</dcterms:modified>
</cp:coreProperties>
</file>