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EE8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00" w:lineRule="atLeast"/>
        <w:ind w:left="0" w:right="0" w:firstLine="0"/>
        <w:jc w:val="left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</w:rPr>
        <w:t>AI 缠论行情图标准化读图说明（TradingView 适配版）</w:t>
      </w:r>
    </w:p>
    <w:p w14:paraId="47FB71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本说明为 AI 提供标准化的 TradingView 缠论行情图解析规则，覆盖单周期核心元素识别、多周期联动分析及结构化输出要求，适配视觉 AI 自动化解析，可直接用于 AI 记忆，后续仅需按需微调规则即可。</w:t>
      </w:r>
    </w:p>
    <w:p w14:paraId="57E4D5F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35" w:beforeAutospacing="0" w:after="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</w:rPr>
        <w:t>一、基础读图规则（通用所有周期，AI 优先执行）</w:t>
      </w:r>
    </w:p>
    <w:p w14:paraId="29F12E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基础规则为解析前提，适用于任何时间周期的行情图，AI 需优先完成基础信息提取与优先级排序。</w:t>
      </w:r>
    </w:p>
    <w:p w14:paraId="70A8FA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图片范围限定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：仅解析 TradingView 平台的 K 线图内容，强制忽略界面按钮、水印、广告、指标数值（如 RSI、MACD 具体数值）等无关元素；核心提取四大要素 ——K 线（价格走势）、均线（趋势辅助）、成交量（量能验证）、缠论形态（中枢 / 背驰 / 买卖点）。</w:t>
      </w:r>
    </w:p>
    <w:p w14:paraId="28A36E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标的与周期确认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0AF265A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优先识别图片内标注的标的名称（如 BTC/USDT、ETH/USDT、XAU/USD）、时间周期（如 1m/5m/15m/25m/1h）；</w:t>
      </w:r>
    </w:p>
    <w:p w14:paraId="5B16310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若图片无标注，需按外部传入的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</w:rPr>
        <w:t>symbol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（标的）/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</w:rPr>
        <w:t>level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（周期）字段补全，确保 “标的 + 周期” 唯一匹配（避免同一标的不同周期混淆）。</w:t>
      </w:r>
    </w:p>
    <w:p w14:paraId="3941C2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解析优先级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：严格遵循缠论逻辑顺序，不插入无关技术分析 ——标的周期确认 → 趋势与均线判断 → 缠论中枢 / 背驰识别 → 成交量验证 → 买卖点匹配。</w:t>
      </w:r>
    </w:p>
    <w:p w14:paraId="48353D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数值精度要求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6240C20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所有价格数值（当前价格、中枢上下沿、买卖点价格等）保留 2 位小数；</w:t>
      </w:r>
    </w:p>
    <w:p w14:paraId="7C6E9C6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趋势 / 形态判断仅基于图片可见的 K 线、均线、成交量信息，不做主观预测（如 “未来可能上涨”）；</w:t>
      </w:r>
    </w:p>
    <w:p w14:paraId="12AAB85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未知 / 无法识别的字段（如无均线、无中枢）统一标注为 “无” 或对应默认值（如数值型为 0，布尔型为 false）。</w:t>
      </w:r>
    </w:p>
    <w:p w14:paraId="72566FC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35" w:beforeAutospacing="0" w:after="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</w:rPr>
        <w:t>二、单周期核心元素识别规则</w:t>
      </w:r>
    </w:p>
    <w:p w14:paraId="7FF232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针对单张 TradingView 行情截图，按 “趋势→均线→中枢→背驰→买卖点→成交量” 的顺序逐一解析，每个环节需满足明确判定标准。</w:t>
      </w:r>
    </w:p>
    <w:p w14:paraId="4B379CA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（一）趋势与 K 线判断</w:t>
      </w:r>
    </w:p>
    <w:p w14:paraId="1FB73A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趋势判定以 “连续 K 线收盘价方向” 为核心，过滤异常 K 线干扰。</w:t>
      </w:r>
    </w:p>
    <w:p w14:paraId="122608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趋势定义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64DFF30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短期多头：连续≥5 根 K 线的收盘价逐步抬高（后一根收盘价＞前一根收盘价）；</w:t>
      </w:r>
    </w:p>
    <w:p w14:paraId="25B3CB5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短期空头：连续≥5 根 K 线的收盘价逐步降低（后一根收盘价＜前一根收盘价）；</w:t>
      </w:r>
    </w:p>
    <w:p w14:paraId="586B139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震荡：连续 K 线高低点波动幅度≤5%（计算公式：(区间最高点 - 区间最低点)/ 区间最低点 ×100%≤5%），且无明确多头 / 空头方向。</w:t>
      </w:r>
    </w:p>
    <w:p w14:paraId="65520E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K 线过滤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：单个 K 线若满足以下条件，不影响整体趋势判断，以连续 K 线形态为准：</w:t>
      </w:r>
    </w:p>
    <w:p w14:paraId="7499133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跳空幅度＞3%（开盘价与前一根收盘价差值占前收盘价比例＞3%）；</w:t>
      </w:r>
    </w:p>
    <w:p w14:paraId="466C23D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长上下影线（影线长度＞实体长度 2 倍）且无成交量配合（该 K 线成交量＜前 5 根 K 线平均成交量）。</w:t>
      </w:r>
    </w:p>
    <w:p w14:paraId="669E248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当前价格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：识别图片中最新一根 K 线（右侧最后一根）的收盘价，作为后续分析的价格基准。</w:t>
      </w:r>
    </w:p>
    <w:p w14:paraId="352B83F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（二）均线形态识别</w:t>
      </w:r>
    </w:p>
    <w:p w14:paraId="794D7D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默认识别所有可见均线，重点区分短 / 中 / 长期均线，判断排列方向。</w:t>
      </w:r>
    </w:p>
    <w:p w14:paraId="72A0F7D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均线提取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236802B9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优先识别图片中标注的均线周期（如 MA5、MA10、MA60）；</w:t>
      </w:r>
    </w:p>
    <w:p w14:paraId="7431AA9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无标注时按 “视觉特征” 区分：短期均线（5/10 周期）通常线条更细、颜色更鲜艳（如红色、黄色）；中期均线（20/30 周期）线条粗细中等（如蓝色、绿色）；长期均线（60/120 周期）线条更粗、颜色更暗（如黑色、灰色）。</w:t>
      </w:r>
    </w:p>
    <w:p w14:paraId="19371EC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排列判断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4C4E4B4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多头排列：短期均线上穿中期 / 长期均线，且三条均线整体呈向上发散趋势（如 MA5＞MA20＞MA60，且均向上倾斜）；</w:t>
      </w:r>
    </w:p>
    <w:p w14:paraId="217983F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空头排列：短期均线下穿中期 / 长期均线，且三条均线整体呈向下发散趋势（如 MA5＜MA20＜MA60，且均向下倾斜）；</w:t>
      </w:r>
    </w:p>
    <w:p w14:paraId="418EA0D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震荡排列：所有可见均线相互缠绕、走平（倾斜角度＜15°），无明显向上 / 向下方向；</w:t>
      </w:r>
    </w:p>
    <w:p w14:paraId="2FEC4D5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无均线：图片中未显示任何均线线条，标注为 “无均线”。</w:t>
      </w:r>
    </w:p>
    <w:p w14:paraId="15E111C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（三）缠论中枢识别（核心）</w:t>
      </w:r>
    </w:p>
    <w:p w14:paraId="4894A7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中枢是缠论分析的基础，需严格按 “K 线重叠区间” 判定，排除微小波动干扰。</w:t>
      </w:r>
    </w:p>
    <w:p w14:paraId="2040E56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中枢定义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：≥3 根连续 K 线形成 “高低点重叠区间”（即后一根 K 线的高点≤前一根 K 线的高点，且后一根 K 线的低点≥前一根 K 线的低点），视为 1 个缠论中枢；若重叠区间波动幅度＜2%（(中枢上沿 - 中枢下沿)/ 中枢下沿 ×100%＜2%），不判定为中枢。</w:t>
      </w:r>
    </w:p>
    <w:p w14:paraId="3593A83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中枢标注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08B7B4A1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中枢级别：与当前解析的时间周期一致（如 1m 周期解析的中枢标注为 “1m 级别”）；</w:t>
      </w:r>
    </w:p>
    <w:p w14:paraId="677C3BD0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中枢上沿：中枢内所有 K 线的收盘价最大值（保留 2 位小数）；</w:t>
      </w:r>
    </w:p>
    <w:p w14:paraId="21482867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中枢下沿：中枢内所有 K 线的收盘价最小值（保留 2 位小数）；</w:t>
      </w:r>
    </w:p>
    <w:p w14:paraId="104ED17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中枢数量：按时间先后顺序标注（如最早形成的为 “中枢 1”，后续为 “中枢 2”），无中枢则记为 0。</w:t>
      </w:r>
    </w:p>
    <w:p w14:paraId="0185FAA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中枢状态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：仅当 “重叠区间清晰 + K 线数量≥3” 时判定为 “有效中枢”；模糊不清（如 K 线重叠不明显）或 K 线数量不足时，标注为 “无中枢”。</w:t>
      </w:r>
    </w:p>
    <w:p w14:paraId="393AC39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（四）缠论背驰识别（核心，无中枢则无背驰）</w:t>
      </w:r>
    </w:p>
    <w:p w14:paraId="5F671E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背驰需以 “有效中枢” 为前提，结合成交量验证，不单独判定。</w:t>
      </w:r>
    </w:p>
    <w:p w14:paraId="6A816F6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背驰前提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：必须存在有效中枢，且价格走出中枢后形成 “新高 / 新低” 走势（即中枢后的价格高于中枢内最高点，或低于中枢内最低点）。</w:t>
      </w:r>
    </w:p>
    <w:p w14:paraId="750D674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判断标准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6E5231D8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背驰成立：价格创中枢后新高 / 新低，且对应成交量逐步萎缩（即新高 / 新低 K 线的成交量＜前一根 K 线成交量，且连续 2 根以上）；</w:t>
      </w:r>
    </w:p>
    <w:p w14:paraId="3D3E65A0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背驰不成立：价格创中枢后新高 / 新低，但成交量同步放大或无明显变化。</w:t>
      </w:r>
    </w:p>
    <w:p w14:paraId="5D98AA0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背驰分类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30E64F84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底背驰（多头信号）：价格创中枢后新低，且成交量萎缩；</w:t>
      </w:r>
    </w:p>
    <w:p w14:paraId="3196BD7D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顶背驰（空头信号）：价格创中枢后新高，且成交量萎缩；</w:t>
      </w:r>
    </w:p>
    <w:p w14:paraId="7B8A350E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无背驰：价格未创中枢后新高 / 新低，或成交量未萎缩。</w:t>
      </w:r>
    </w:p>
    <w:p w14:paraId="4B26E34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背驰有效性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：仅 “成交量萎缩验证 + 有效中枢支撑” 的背驰为 “有效背驰”；无成交量配合、中枢不明确的背驰，标注为 “无效背驰”。</w:t>
      </w:r>
    </w:p>
    <w:p w14:paraId="2718D86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（五）缠论买卖点识别（与背驰强绑定）</w:t>
      </w:r>
    </w:p>
    <w:p w14:paraId="6B84C2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买卖点需基于 “有效背驰 + 完整 K 线形态”，无背驰则直接判定为 “无买卖点”。</w:t>
      </w:r>
    </w:p>
    <w:p w14:paraId="4273A01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买卖点前提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：必须满足 “有效背驰 + 对应 K 线形态完整”，二者缺一不可。</w:t>
      </w:r>
    </w:p>
    <w:p w14:paraId="37D8FBD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具体判定标准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15E2811F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1 买 / 1 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0655971D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1 买：底背驰出现后，第一根收阳 K 线（收盘价＞开盘价），提取该 K 线收盘价作为 “1 买价格”；</w:t>
      </w:r>
    </w:p>
    <w:p w14:paraId="4DC078AF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1 卖：顶背驰出现后，第一根收阴 K 线（收盘价＜开盘价），提取该 K 线收盘价作为 “1 卖价格”。</w:t>
      </w:r>
    </w:p>
    <w:p w14:paraId="2D4D30CF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2 买 / 2 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3B121308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2 买：1 买形成后，价格回踩中枢下沿且未跌破（回踩低点≥中枢下沿），再次收阳的 K 线，提取该 K 线收盘价作为 “2 买价格”；</w:t>
      </w:r>
    </w:p>
    <w:p w14:paraId="35C92A0B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2 卖：1 卖形成后，价格反弹中枢上沿且未突破（反弹高点≤中枢上沿），再次收阴的 K 线，提取该 K 线收盘价作为 “2 卖价格”。</w:t>
      </w:r>
    </w:p>
    <w:p w14:paraId="601C345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买卖点标注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：无符合上述条件的形态时，标注为 “无买卖点”，不强行判定（如仅背驰无对应 K 线，或 K 线形态不完整）。</w:t>
      </w:r>
    </w:p>
    <w:p w14:paraId="2F92C0D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（六）成交量特征识别</w:t>
      </w:r>
    </w:p>
    <w:p w14:paraId="2CF6E6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成交量用于验证趋势、背驰及买卖点的有效性，需对比历史量能判断。</w:t>
      </w:r>
    </w:p>
    <w:p w14:paraId="7A24D9B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量能判断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：当前 K 线（最新一根）成交量与前 5 根 K 线平均成交量对比：</w:t>
      </w:r>
    </w:p>
    <w:p w14:paraId="2E22BEAA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放量：当前成交量＞前 5 根平均成交量 ×2 倍；</w:t>
      </w:r>
    </w:p>
    <w:p w14:paraId="37AD7AE1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缩量：当前成交量＜前 5 根平均成交量 ×0.5 倍；</w:t>
      </w:r>
    </w:p>
    <w:p w14:paraId="399E699A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量能平平：当前成交量在前 5 根平均成交量的 0.5-2 倍之间；</w:t>
      </w:r>
    </w:p>
    <w:p w14:paraId="018AB90E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异常放量：当前成交量＞前 5 根平均成交量 ×3 倍。</w:t>
      </w:r>
    </w:p>
    <w:p w14:paraId="52E98AA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量价配合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：结合短期趋势判断量价关系：</w:t>
      </w:r>
    </w:p>
    <w:p w14:paraId="5FFBE03E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多头趋势 + 放量→量价同步（趋势支撑强）；</w:t>
      </w:r>
    </w:p>
    <w:p w14:paraId="50348352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多头趋势 + 缩量→量价背离（趋势支撑弱）；</w:t>
      </w:r>
    </w:p>
    <w:p w14:paraId="03E3ED71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空头趋势 + 放量→量价同步（趋势压制强）；</w:t>
      </w:r>
    </w:p>
    <w:p w14:paraId="6B538338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空头趋势 + 缩量→量价背离（趋势压制弱）；</w:t>
      </w:r>
    </w:p>
    <w:p w14:paraId="2C7102E4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震荡趋势：量能无明确配合性，标注为 “无”。</w:t>
      </w:r>
    </w:p>
    <w:p w14:paraId="63C4DF7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35" w:beforeAutospacing="0" w:after="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</w:rPr>
        <w:t>三、多周期联动解析规则（触发条件：同一标的 1m/5m/25m 三张截图）</w:t>
      </w:r>
    </w:p>
    <w:p w14:paraId="224311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当同时获取同一标的的 1m（分钟）、5m、25m 周期截图时，自动触发多周期联动分析，核心验证 “信号共振”，过滤单周期假信号。</w:t>
      </w:r>
    </w:p>
    <w:p w14:paraId="4561F64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（一）周期定位</w:t>
      </w:r>
    </w:p>
    <w:p w14:paraId="6AEE75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明确各周期的功能分工，避免混淆：</w:t>
      </w:r>
    </w:p>
    <w:p w14:paraId="3BFAAF1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信号周期（1m）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：触发交易警报的核心周期，优先验证背驰 + 买卖点的有效性，是多周期分析的 “起点”；</w:t>
      </w:r>
    </w:p>
    <w:p w14:paraId="1754B0E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次级别周期（5m）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：验证短期趋势配合性，过滤 1m 周期的孤立假信号（如 1m 背驰但 5m 趋势反向）；</w:t>
      </w:r>
    </w:p>
    <w:p w14:paraId="3B58CB1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大级别周期（25m）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：验证长期支撑 / 压力，界定仓位大小与风控标准（如 25m 有强支撑则可提高仓位）。</w:t>
      </w:r>
    </w:p>
    <w:p w14:paraId="4C6DE7A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（二）共振判断核心逻辑</w:t>
      </w:r>
    </w:p>
    <w:p w14:paraId="4810C4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多周期共振需满足 “1m 基础达标 + 5m 趋势配合 + 25m 支撑 / 压力匹配”，缺一则信号弱化：</w:t>
      </w:r>
    </w:p>
    <w:p w14:paraId="6CA7A51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基础条件（1m 周期）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：必须满足 “有效背驰 + 对应买卖点形态完整”，缺一则直接判定为 “多周期无效信号”；</w:t>
      </w:r>
    </w:p>
    <w:p w14:paraId="5FDE3B4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次级别配合（5m 周期）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7AD6D4B0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趋势不与 1m 信号反向：1m 底背驰→5m 非单边空头 / 顶背驰；1m 顶背驰→5m 非单边多头 / 底背驰；</w:t>
      </w:r>
    </w:p>
    <w:p w14:paraId="516E0FD1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均线形态匹配：1m 底背驰→5m 均线为多头排列 / 震荡排列；1m 顶背驰→5m 均线为空头排列 / 震荡排列，无明显反向均线压制（如 1m 底背驰但 5m 呈空头排列，则不配合）；</w:t>
      </w:r>
    </w:p>
    <w:p w14:paraId="50C6E7E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大级别支撑 / 压力（25m 周期）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</w:t>
      </w:r>
    </w:p>
    <w:p w14:paraId="4A54B5BD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1m 底背驰→25m 价格处于 “中枢下沿 / 前期低点 / 长期均线（如 MA60）” 支撑位，无破位风险（如未跌破前期低点），且 25m 无顶背驰；</w:t>
      </w:r>
    </w:p>
    <w:p w14:paraId="34DF2535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1m 顶背驰→25m 价格处于 “中枢上沿 / 前期高点 / 长期均线（如 MA60）” 压力位，无突破风险（如未突破前期高点），且 25m 无底背驰；</w:t>
      </w:r>
    </w:p>
    <w:p w14:paraId="0A65B962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若 25m 无明确支撑 / 压力位，标注为 “中性区间”。</w:t>
      </w:r>
    </w:p>
    <w:p w14:paraId="7251F3D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（三）信号有效性分级</w:t>
      </w:r>
    </w:p>
    <w:p w14:paraId="608A60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根据三周期匹配程度，将信号分为三级，直接关联操作决策：</w:t>
      </w:r>
    </w:p>
    <w:p w14:paraId="64FEF68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强有效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：1m 基础条件达标 + 5m 趋势完全配合 + 25m 强支撑 / 压力（三者共振）；</w:t>
      </w:r>
    </w:p>
    <w:p w14:paraId="653D67D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弱有效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：1m 基础条件达标 + 5m 趋势配合 + 25m 中性区间（二者共振）；</w:t>
      </w:r>
    </w:p>
    <w:p w14:paraId="49BEFA6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无效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：1m 基础条件不达标 / 5m 趋势反向 / 25m 存在反向背驰 / 破位风险（任一条件满足即判定）。</w:t>
      </w:r>
    </w:p>
    <w:p w14:paraId="181BD2D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35" w:beforeAutospacing="0" w:after="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</w:rPr>
        <w:t>四、结构化输出要求（无额外文字，严格按格式，AI 必遵守）</w:t>
      </w:r>
    </w:p>
    <w:p w14:paraId="5EC901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AI 解析后需输出标准 JSON 格式，无多余描述，确保字段完整、数值精度达标。</w:t>
      </w:r>
    </w:p>
    <w:p w14:paraId="4D04DD8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（一）单周期解析输出 JSON</w:t>
      </w:r>
    </w:p>
    <w:p w14:paraId="711C3ED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json</w:t>
      </w:r>
    </w:p>
    <w:p w14:paraId="45B738C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282B112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"标的名称"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"字符串（如BTC/USDT）"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30ED1AA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"时间周期"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"字符串（如1m/5m/25m）"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2596D69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"当前价格"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数字（保留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位小数，如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42000.50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50BB9D0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"短期趋势"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"字符串（多头/空头/震荡）"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1885812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"均线形态"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"字符串（多头排列/空头排列/震荡排列/无均线）"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06032D1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"缠论中枢"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085A63F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"是否存在"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"布尔值（true/false）"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144DB5F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"中枢级别"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"字符串（与周期一致，如1m级别/无）"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06C4337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"中枢上沿"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数字（保留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位小数，无则为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，如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42500.30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1CF30D0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"中枢下沿"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数字（保留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位小数，无则为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，如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41800.10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5990502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"中枢数量"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数字（无则为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，如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）</w:t>
      </w:r>
    </w:p>
    <w:p w14:paraId="42433DB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},</w:t>
      </w:r>
    </w:p>
    <w:p w14:paraId="45451E7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"缠论背驰"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5657C50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"是否存在"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"布尔值（true/false）"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00FE3B1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"背驰类型"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"字符串（底背驰/顶背驰/无）"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7ED32F9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"是否有效"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"布尔值（true/false/无，无背驰则为无）"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147D3C4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"验证依据"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"字符串（成交量萎缩/无成交量配合/无中枢/无）"</w:t>
      </w:r>
    </w:p>
    <w:p w14:paraId="1F00F30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},</w:t>
      </w:r>
    </w:p>
    <w:p w14:paraId="1435597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"缠论买卖点"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75BEAE0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"是否存在"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"布尔值（true/false）"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1675429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"买卖点类型"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"字符串（1买/2买/1卖/2卖/无）"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3DB5F25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"对应价格"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数字（保留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位小数，无则为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，如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42100.20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）</w:t>
      </w:r>
    </w:p>
    <w:p w14:paraId="65875AD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},</w:t>
      </w:r>
    </w:p>
    <w:p w14:paraId="1B97FE8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"成交量特征"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"字符串（放量/缩量/量能平平/异常放量）"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7304D83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"量价配合"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"字符串（同步/背离/无）"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37EB01E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"单周期结论"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"字符串（简洁总结，如“BTC/USDT 1m，空头趋势，存在有效底背驰，对应1买信号，成交量萎缩”）"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0B3CD2A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（二）多周期联动解析输出 JSON</w:t>
      </w:r>
    </w:p>
    <w:p w14:paraId="672F9E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json</w:t>
      </w:r>
    </w:p>
    <w:p w14:paraId="627B44F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44C1A34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"标的名称"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"字符串（如BTC/USDT）"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4D8ED70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"信号触发周期"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"1m"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3FFF7C4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"触发信号类型"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"字符串（底背驰1买/顶背驰1卖/无）"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2A88F67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"单周期解析结果"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2C8AF26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"1m"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"单周期JSON格式（完整填入1m周期解析的JSON内容）"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18CC88D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"5m"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"单周期JSON格式（完整填入5m周期解析的JSON内容）"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7DA2BB4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"25m"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"单周期JSON格式（完整填入25m周期解析的JSON内容）"</w:t>
      </w:r>
    </w:p>
    <w:p w14:paraId="7E231EE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},</w:t>
      </w:r>
    </w:p>
    <w:p w14:paraId="5DB2DFB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"多周期共振分析"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0998B7C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"信号有效性"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"字符串（强有效/弱有效/无效）"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5249F28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"判断依据"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"字符串（简洁说明三周期匹配情况，如“1m有效底背驰+5m震荡趋势+25m中枢下沿支撑，三者共振”）"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4A85571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"大级别支撑位"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数字（保留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位小数，无则为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，如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41800.10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5ADB5B7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"大级别压力位"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数字（保留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位小数，无则为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，如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42500.30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2912D0F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"建议仓位"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数字（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3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5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，单位%，无效为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，弱有效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3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，强有效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5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170B679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"参考止损位"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数字（保留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位小数，1m/5m共振止损，无效为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，如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41700.00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</w:p>
    <w:p w14:paraId="6505292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"参考目标位"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数字（保留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位小数，1m/5m共振目标，无效为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，如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</w:rPr>
        <w:t>42300.00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）</w:t>
      </w:r>
    </w:p>
    <w:p w14:paraId="4E8C058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},</w:t>
      </w:r>
    </w:p>
    <w:p w14:paraId="39E9B6C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80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"最终操作建议"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</w:rPr>
        <w:t>"字符串（如“强有效信号，建议5%仓位开多，止损41700.00，目标42300.00”/“无效信号，放弃开仓”）"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1F1793B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35" w:beforeAutospacing="0" w:after="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</w:rPr>
        <w:t>五、特殊情况处理规则</w:t>
      </w:r>
    </w:p>
    <w:p w14:paraId="220DF0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针对解析中的异常场景，明确统一处理方式，避免歧义：</w:t>
      </w:r>
    </w:p>
    <w:p w14:paraId="5062F4B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图片质量问题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：图片模糊、空白、关键元素（如 K 线、成交量）被遮挡→所有字段按 “无 / 0/false” 标注，单周期结论标注 “图片质量不佳，无法解析”，多周期解析直接判定为 “无效信号”；</w:t>
      </w:r>
    </w:p>
    <w:p w14:paraId="043E3569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信息缺失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：图片无标的名称、时间周期、成交量等关键信息→优先按外部传入的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</w:rPr>
        <w:t>symbol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</w:rPr>
        <w:t>level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字段补全；无法补全的字段标注 “信息缺失”，结论中说明 “关键信息缺失，解析结果仅供参考”；</w:t>
      </w:r>
    </w:p>
    <w:p w14:paraId="2420329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5"/>
          <w:szCs w:val="15"/>
          <w:bdr w:val="single" w:color="auto" w:sz="2" w:space="0"/>
        </w:rPr>
        <w:t>多中枢 / 多背驰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：同一周期存在多个中枢或背驰→按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</w:rPr>
        <w:t>时间先后顺序标注（如中枢 1、中枢 2；背驰</w:t>
      </w:r>
    </w:p>
    <w:p w14:paraId="676906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BF0D6"/>
    <w:multiLevelType w:val="multilevel"/>
    <w:tmpl w:val="95BBF0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F0A244F"/>
    <w:multiLevelType w:val="multilevel"/>
    <w:tmpl w:val="AF0A2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3DBC924"/>
    <w:multiLevelType w:val="multilevel"/>
    <w:tmpl w:val="B3DBC9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92F5117"/>
    <w:multiLevelType w:val="multilevel"/>
    <w:tmpl w:val="C92F5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B2ADDB6"/>
    <w:multiLevelType w:val="multilevel"/>
    <w:tmpl w:val="CB2ADD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317753A"/>
    <w:multiLevelType w:val="multilevel"/>
    <w:tmpl w:val="D31775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A5830CA"/>
    <w:multiLevelType w:val="multilevel"/>
    <w:tmpl w:val="EA5830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A0DC068"/>
    <w:multiLevelType w:val="multilevel"/>
    <w:tmpl w:val="0A0DC0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1E2EB185"/>
    <w:multiLevelType w:val="multilevel"/>
    <w:tmpl w:val="1E2EB1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0D0324C"/>
    <w:multiLevelType w:val="multilevel"/>
    <w:tmpl w:val="20D03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568FFC04"/>
    <w:multiLevelType w:val="multilevel"/>
    <w:tmpl w:val="568FF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6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2026-02-01T02:45:27Z</dcterms:created>
  <dc:creator>GM336</dc:creator>
  <cp:lastModifiedBy>日月</cp:lastModifiedBy>
  <dcterms:modified xsi:type="dcterms:W3CDTF">2026-02-01T02:53:43Z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eyJoZGlkIjoiYTYxMWI3ZGI2Zjc4NDA2ZWNkYjdhNWMzZTJlZTgyY2MiLCJ1c2VySWQiOiIzMjEyMTEwMDcifQ==</vt:lpwstr>
  </property>
  <property fmtid="{D5CDD505-2E9C-101B-9397-08002B2CF9AE}" pid="4" name="ICV">
    <vt:lpwstr>2642178B8FE9462DB0B83BDDBE01E53E_12</vt:lpwstr>
  </property>
</Properties>
</file>