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PERJANJIAN AWAL IKATAN 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166B69" w:rsidP="008819B1">
      <w:pPr>
        <w:jc w:val="center"/>
        <w:rPr>
          <w:rFonts w:ascii="Tahoma" w:hAnsi="Tahoma" w:cs="Tahoma"/>
          <w:b/>
          <w:bCs/>
          <w:lang w:val="en-US"/>
        </w:rPr>
      </w:pPr>
      <w:r>
        <w:rPr>
          <w:rFonts w:ascii="Tahoma" w:hAnsi="Tahoma" w:cs="Tahoma"/>
          <w:b/>
          <w:bCs/>
          <w:lang w:val="en-US"/>
        </w:rPr>
        <w:t>Nomor</w:t>
      </w:r>
      <w:r w:rsidR="000052A0" w:rsidRPr="002265F0">
        <w:rPr>
          <w:rFonts w:ascii="Tahoma" w:hAnsi="Tahoma" w:cs="Tahoma"/>
          <w:b/>
          <w:bCs/>
          <w:lang w:val="en-US"/>
        </w:rPr>
        <w:t>:</w:t>
      </w:r>
      <w:r w:rsidR="008819B1" w:rsidRPr="002265F0">
        <w:rPr>
          <w:rFonts w:ascii="Tahoma" w:hAnsi="Tahoma" w:cs="Tahoma"/>
          <w:b/>
          <w:bCs/>
          <w:lang w:val="en-US"/>
        </w:rPr>
        <w:t xml:space="preserve"> </w:t>
      </w:r>
      <w:r w:rsidR="008819B1" w:rsidRPr="002265F0">
        <w:rPr>
          <w:rFonts w:ascii="Tahoma" w:hAnsi="Tahoma" w:cs="Tahoma"/>
          <w:b/>
          <w:lang w:val="en-US"/>
        </w:rPr>
        <w:t>{nomor_ppjb}</w:t>
      </w:r>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00965C58">
        <w:rPr>
          <w:rFonts w:ascii="Tahoma" w:hAnsi="Tahoma" w:cs="Tahoma"/>
          <w:lang w:val="en-US"/>
        </w:rPr>
        <w:t>), oleh dan antara</w:t>
      </w:r>
      <w:r w:rsidRPr="002265F0">
        <w:rPr>
          <w:rFonts w:ascii="Tahoma" w:hAnsi="Tahoma" w:cs="Tahoma"/>
          <w:lang w:val="en-US"/>
        </w:rPr>
        <w:t>:</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w:t>
      </w:r>
      <w:r w:rsidR="008B3187">
        <w:rPr>
          <w:rFonts w:ascii="Tahoma" w:hAnsi="Tahoma" w:cs="Tahoma"/>
          <w:lang w:val="en-US"/>
        </w:rPr>
        <w:t xml:space="preserve">odan Timur no.7, Jakarta Utara </w:t>
      </w:r>
      <w:r w:rsidRPr="002265F0">
        <w:rPr>
          <w:rFonts w:ascii="Tahoma" w:hAnsi="Tahoma" w:cs="Tahoma"/>
          <w:lang w:val="en-US"/>
        </w:rPr>
        <w:t xml:space="preserve">Indonesia, dan dalam hal ini diwakili oleh </w:t>
      </w:r>
      <w:r w:rsidR="00E47E39">
        <w:rPr>
          <w:rFonts w:ascii="Tahoma" w:hAnsi="Tahoma" w:cs="Tahoma"/>
          <w:b/>
          <w:bCs/>
          <w:lang w:val="en-US"/>
        </w:rPr>
        <w:t>{</w:t>
      </w:r>
      <w:r w:rsidR="00AC5500">
        <w:rPr>
          <w:rFonts w:ascii="Tahoma" w:hAnsi="Tahoma" w:cs="Tahoma"/>
          <w:b/>
          <w:bCs/>
          <w:lang w:val="en-US"/>
        </w:rPr>
        <w:t>nama_</w:t>
      </w:r>
      <w:r w:rsidR="00E47E39">
        <w:rPr>
          <w:rFonts w:ascii="Tahoma" w:hAnsi="Tahoma" w:cs="Tahoma"/>
          <w:b/>
          <w:bCs/>
          <w:lang w:val="en-US"/>
        </w:rPr>
        <w:t>direktur}</w:t>
      </w:r>
      <w:r w:rsidRPr="002265F0">
        <w:rPr>
          <w:rFonts w:ascii="Tahoma" w:hAnsi="Tahoma" w:cs="Tahoma"/>
          <w:b/>
          <w:bCs/>
          <w:lang w:val="en-US"/>
        </w:rPr>
        <w:t xml:space="preserve"> </w:t>
      </w:r>
      <w:r w:rsidRPr="002265F0">
        <w:rPr>
          <w:rFonts w:ascii="Tahoma" w:hAnsi="Tahoma" w:cs="Tahoma"/>
          <w:lang w:val="en-US"/>
        </w:rPr>
        <w:t xml:space="preserve">selaku </w:t>
      </w:r>
      <w:r w:rsidR="00EB4611">
        <w:rPr>
          <w:rFonts w:ascii="Tahoma" w:hAnsi="Tahoma" w:cs="Tahoma"/>
          <w:b/>
          <w:bCs/>
          <w:lang w:val="en-US"/>
        </w:rPr>
        <w:t>{jabatan</w:t>
      </w:r>
      <w:r w:rsidR="00AC5500">
        <w:rPr>
          <w:rFonts w:ascii="Tahoma" w:hAnsi="Tahoma" w:cs="Tahoma"/>
          <w:b/>
          <w:bCs/>
          <w:lang w:val="en-US"/>
        </w:rPr>
        <w:t>_direktur</w:t>
      </w:r>
      <w:r w:rsidR="00EB4611">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dan </w:t>
      </w:r>
      <w:r w:rsidR="00E47E39">
        <w:rPr>
          <w:rFonts w:ascii="Tahoma" w:hAnsi="Tahoma" w:cs="Tahoma"/>
          <w:b/>
          <w:bCs/>
          <w:lang w:val="en-US"/>
        </w:rPr>
        <w:t>{</w:t>
      </w:r>
      <w:r w:rsidR="00AC5500">
        <w:rPr>
          <w:rFonts w:ascii="Tahoma" w:hAnsi="Tahoma" w:cs="Tahoma"/>
          <w:b/>
          <w:bCs/>
          <w:lang w:val="en-US"/>
        </w:rPr>
        <w:t>nama_gm</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w:t>
      </w:r>
      <w:r w:rsidR="00EB4611">
        <w:rPr>
          <w:rFonts w:ascii="Tahoma" w:hAnsi="Tahoma" w:cs="Tahoma"/>
          <w:b/>
          <w:bCs/>
          <w:lang w:val="en-US"/>
        </w:rPr>
        <w:t>{</w:t>
      </w:r>
      <w:r w:rsidR="00AC5500">
        <w:rPr>
          <w:rFonts w:ascii="Tahoma" w:hAnsi="Tahoma" w:cs="Tahoma"/>
          <w:b/>
          <w:bCs/>
          <w:lang w:val="en-US"/>
        </w:rPr>
        <w:t>jabatan_gm</w:t>
      </w:r>
      <w:r w:rsidR="00EB4611">
        <w:rPr>
          <w:rFonts w:ascii="Tahoma" w:hAnsi="Tahoma" w:cs="Tahoma"/>
          <w:b/>
          <w:bCs/>
          <w:lang w:val="en-US"/>
        </w:rPr>
        <w:t>}</w:t>
      </w:r>
      <w:r w:rsidRPr="002265F0">
        <w:rPr>
          <w:rFonts w:ascii="Tahoma" w:hAnsi="Tahoma" w:cs="Tahoma"/>
          <w:b/>
          <w:bCs/>
          <w:lang w:val="en-US"/>
        </w:rPr>
        <w:t>,</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pemegang K</w:t>
      </w:r>
      <w:r w:rsidR="00166B69">
        <w:rPr>
          <w:rFonts w:ascii="Tahoma" w:hAnsi="Tahoma" w:cs="Tahoma"/>
          <w:lang w:val="en-US"/>
        </w:rPr>
        <w:t>artu Tanda Penduduk (KTP) Nomor</w:t>
      </w:r>
      <w:r w:rsidR="00BA2DF1">
        <w:rPr>
          <w:rFonts w:ascii="Tahoma" w:hAnsi="Tahoma" w:cs="Tahoma"/>
          <w:lang w:val="en-US"/>
        </w:rPr>
        <w:t xml:space="preserve"> </w:t>
      </w:r>
      <w:r w:rsidR="000052A0" w:rsidRPr="002265F0">
        <w:rPr>
          <w:rFonts w:ascii="Tahoma" w:hAnsi="Tahoma" w:cs="Tahoma"/>
          <w:lang w:val="en-US"/>
        </w:rPr>
        <w:t xml:space="preserve">: </w:t>
      </w:r>
      <w:r w:rsidR="00A87B20">
        <w:rPr>
          <w:rFonts w:ascii="Tahoma" w:hAnsi="Tahoma" w:cs="Tahoma"/>
          <w:lang w:val="en-US"/>
        </w:rPr>
        <w:t>{ktp}</w:t>
      </w:r>
      <w:r w:rsidR="000052A0" w:rsidRPr="002265F0">
        <w:rPr>
          <w:rFonts w:ascii="Tahoma" w:hAnsi="Tahoma" w:cs="Tahoma"/>
          <w:lang w:val="en-US"/>
        </w:rPr>
        <w:t xml:space="preserve"> bertempat tinggal di Jalan </w:t>
      </w:r>
      <w:r w:rsidR="00A87B20">
        <w:rPr>
          <w:rFonts w:ascii="Tahoma" w:hAnsi="Tahoma" w:cs="Tahoma"/>
          <w:lang w:val="en-US"/>
        </w:rPr>
        <w:t>{alamat}</w:t>
      </w:r>
      <w:r w:rsidR="000052A0" w:rsidRPr="002265F0">
        <w:rPr>
          <w:rFonts w:ascii="Tahoma" w:hAnsi="Tahoma" w:cs="Tahoma"/>
          <w:lang w:val="en-US"/>
        </w:rPr>
        <w:t xml:space="preserve">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w:t>
      </w:r>
      <w:r w:rsidR="00BA2DF1">
        <w:rPr>
          <w:rFonts w:ascii="Tahoma" w:hAnsi="Tahoma" w:cs="Tahoma"/>
          <w:lang w:val="en-US"/>
        </w:rPr>
        <w:t xml:space="preserve"> dahulu hal-hal sebagai berikut</w:t>
      </w:r>
      <w:r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 xml:space="preserve">Seluas </w:t>
      </w:r>
      <w:r w:rsidR="00054BC7">
        <w:rPr>
          <w:rFonts w:ascii="Tahoma" w:hAnsi="Tahoma" w:cs="Tahoma"/>
          <w:lang w:val="en-US"/>
        </w:rPr>
        <w:t>{luas_bangunan}</w:t>
      </w:r>
      <w:r w:rsidR="00E5365E">
        <w:rPr>
          <w:rFonts w:ascii="Tahoma" w:hAnsi="Tahoma" w:cs="Tahoma"/>
          <w:lang w:val="en-US"/>
        </w:rPr>
        <w:t xml:space="preserve"> </w:t>
      </w:r>
      <w:r w:rsidRPr="002265F0">
        <w:rPr>
          <w:rFonts w:ascii="Tahoma" w:hAnsi="Tahoma" w:cs="Tahoma"/>
          <w:lang w:val="en-US"/>
        </w:rPr>
        <w:t>m² (</w:t>
      </w:r>
      <w:r w:rsidR="00054BC7">
        <w:rPr>
          <w:rFonts w:ascii="Tahoma" w:hAnsi="Tahoma" w:cs="Tahoma"/>
          <w:lang w:val="en-US"/>
        </w:rPr>
        <w:t>{terbilang_luas_bangunan}</w:t>
      </w:r>
      <w:r w:rsidRPr="002265F0">
        <w:rPr>
          <w:rFonts w:ascii="Tahoma" w:hAnsi="Tahoma" w:cs="Tahoma"/>
          <w:lang w:val="en-US"/>
        </w:rPr>
        <w:t>)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w:t>
      </w:r>
      <w:r w:rsidR="00094E93">
        <w:rPr>
          <w:rFonts w:ascii="Tahoma" w:hAnsi="Tahoma" w:cs="Tahoma"/>
          <w:lang w:val="en-US"/>
        </w:rPr>
        <w:t>t akan dijadikan 1 (satu) sertip</w:t>
      </w:r>
      <w:r w:rsidRPr="002265F0">
        <w:rPr>
          <w:rFonts w:ascii="Tahoma" w:hAnsi="Tahoma" w:cs="Tahoma"/>
          <w:lang w:val="en-US"/>
        </w:rPr>
        <w:t>ikat induk, dengan luas kurang lebih ……  m</w:t>
      </w:r>
      <w:r w:rsidRPr="002265F0">
        <w:rPr>
          <w:rFonts w:ascii="Tahoma" w:hAnsi="Tahoma" w:cs="Tahoma"/>
          <w:vertAlign w:val="superscript"/>
          <w:lang w:val="en-US"/>
        </w:rPr>
        <w:t>2</w:t>
      </w:r>
      <w:r w:rsidR="00E5365E">
        <w:rPr>
          <w:rFonts w:ascii="Tahoma" w:hAnsi="Tahoma" w:cs="Tahoma"/>
          <w:lang w:val="en-US"/>
        </w:rPr>
        <w:t xml:space="preserve"> (…………………</w:t>
      </w:r>
      <w:r w:rsidRPr="002265F0">
        <w:rPr>
          <w:rFonts w:ascii="Tahoma" w:hAnsi="Tahoma" w:cs="Tahoma"/>
          <w:lang w:val="en-US"/>
        </w:rPr>
        <w:t>)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w:t>
      </w:r>
      <w:r w:rsidR="00E5365E">
        <w:rPr>
          <w:rFonts w:ascii="Tahoma" w:hAnsi="Tahoma" w:cs="Tahoma"/>
          <w:lang w:val="en-US"/>
        </w:rPr>
        <w:t xml:space="preserve">ya Ancol Seafront Tower Oseana </w:t>
      </w:r>
      <w:r w:rsidRPr="002265F0">
        <w:rPr>
          <w:rFonts w:ascii="Tahoma" w:hAnsi="Tahoma" w:cs="Tahoma"/>
          <w:lang w:val="en-US"/>
        </w:rPr>
        <w:t>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dengan ini berjanji dan mengikatkan diri sekarang dan untuk kemudian pada waktunya me</w:t>
      </w:r>
      <w:r w:rsidR="00E5365E">
        <w:rPr>
          <w:rFonts w:ascii="Tahoma" w:hAnsi="Tahoma" w:cs="Tahoma"/>
          <w:lang w:val="en-US"/>
        </w:rPr>
        <w:t xml:space="preserve">nyerahkan </w:t>
      </w:r>
      <w:r w:rsidRPr="002265F0">
        <w:rPr>
          <w:rFonts w:ascii="Tahoma" w:hAnsi="Tahoma" w:cs="Tahoma"/>
          <w:lang w:val="en-US"/>
        </w:rPr>
        <w:t xml:space="preserve">kepada PIHAK KEDUA yang dengan ini menyetujui serta mengikatkan dirinya sekarang dan untuk kemudian </w:t>
      </w:r>
      <w:r w:rsidRPr="002265F0">
        <w:rPr>
          <w:rFonts w:ascii="Tahoma" w:hAnsi="Tahoma" w:cs="Tahoma"/>
          <w:lang w:val="en-US"/>
        </w:rPr>
        <w:lastRenderedPageBreak/>
        <w:t>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w:t>
      </w:r>
      <w:r w:rsidRPr="002265F0">
        <w:rPr>
          <w:rFonts w:ascii="Tahoma" w:hAnsi="Tahoma" w:cs="Tahoma"/>
          <w:lang w:val="en-US"/>
        </w:rPr>
        <w:lastRenderedPageBreak/>
        <w:t xml:space="preserve">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w:t>
      </w:r>
      <w:r w:rsidR="00E5365E">
        <w:rPr>
          <w:rFonts w:ascii="Tahoma" w:hAnsi="Tahoma" w:cs="Tahoma"/>
          <w:lang w:val="en-US"/>
        </w:rPr>
        <w:t>dalah berupa Satuan Rumah Susun</w:t>
      </w:r>
      <w:r w:rsidRPr="002265F0">
        <w:rPr>
          <w:rFonts w:ascii="Tahoma" w:hAnsi="Tahoma" w:cs="Tahoma"/>
          <w:lang w:val="en-US"/>
        </w:rPr>
        <w:t xml:space="preserve">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F1451F" w:rsidRDefault="00F1451F">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w:t>
      </w:r>
      <w:r w:rsidR="00854272">
        <w:rPr>
          <w:rFonts w:ascii="Tahoma" w:hAnsi="Tahoma" w:cs="Tahoma"/>
          <w:lang w:val="en-US"/>
        </w:rPr>
        <w:t xml:space="preserve"> </w:t>
      </w:r>
      <w:r w:rsidRPr="002265F0">
        <w:rPr>
          <w:rFonts w:ascii="Tahoma" w:hAnsi="Tahoma" w:cs="Tahoma"/>
          <w:lang w:val="en-US"/>
        </w:rPr>
        <w:t>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bookmarkStart w:id="0" w:name="_GoBack"/>
      <w:bookmarkEnd w:id="0"/>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w:t>
      </w:r>
      <w:r w:rsidR="00AC12E0">
        <w:rPr>
          <w:rFonts w:ascii="Tahoma" w:hAnsi="Tahoma" w:cs="Tahoma"/>
          <w:lang w:val="es-ES"/>
        </w:rPr>
        <w:t>n biaya administrasi sebesar 30</w:t>
      </w:r>
      <w:r w:rsidRPr="002265F0">
        <w:rPr>
          <w:rFonts w:ascii="Tahoma" w:hAnsi="Tahoma" w:cs="Tahoma"/>
          <w:lang w:val="es-ES"/>
        </w:rPr>
        <w:t>%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 xml:space="preserve">Orang yang dihubungi : </w:t>
      </w:r>
      <w:r w:rsidR="00CC7A5B">
        <w:rPr>
          <w:rFonts w:ascii="Tahoma" w:hAnsi="Tahoma" w:cs="Tahoma"/>
          <w:lang w:val="sv-SE"/>
        </w:rPr>
        <w:t>{nama_direktur}</w:t>
      </w:r>
    </w:p>
    <w:p w:rsidR="00A77B3E" w:rsidRPr="002265F0" w:rsidRDefault="000052A0">
      <w:pPr>
        <w:ind w:left="360"/>
        <w:rPr>
          <w:rFonts w:ascii="Tahoma" w:hAnsi="Tahoma" w:cs="Tahoma"/>
          <w:lang w:val="sv-SE"/>
        </w:rPr>
      </w:pPr>
      <w:r w:rsidRPr="002265F0">
        <w:rPr>
          <w:rFonts w:ascii="Tahoma" w:hAnsi="Tahoma" w:cs="Tahoma"/>
          <w:lang w:val="sv-SE"/>
        </w:rPr>
        <w:t xml:space="preserve">Jabatan :  </w:t>
      </w:r>
      <w:r w:rsidR="00CC7A5B">
        <w:rPr>
          <w:rFonts w:ascii="Tahoma" w:hAnsi="Tahoma" w:cs="Tahoma"/>
          <w:lang w:val="sv-SE"/>
        </w:rPr>
        <w:t>{jabatan_direktur}</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3518A2">
      <w:pPr>
        <w:ind w:left="360"/>
        <w:rPr>
          <w:rFonts w:ascii="Tahoma" w:hAnsi="Tahoma" w:cs="Tahoma"/>
          <w:lang w:val="sv-SE"/>
        </w:rPr>
      </w:pPr>
      <w:r>
        <w:rPr>
          <w:rFonts w:ascii="Tahoma" w:hAnsi="Tahoma" w:cs="Tahoma"/>
          <w:lang w:val="sv-SE"/>
        </w:rPr>
        <w:t>{nama}</w:t>
      </w:r>
    </w:p>
    <w:p w:rsidR="00A77B3E" w:rsidRPr="002265F0" w:rsidRDefault="003518A2">
      <w:pPr>
        <w:ind w:left="360"/>
        <w:rPr>
          <w:rFonts w:ascii="Tahoma" w:hAnsi="Tahoma" w:cs="Tahoma"/>
          <w:lang w:val="sv-SE"/>
        </w:rPr>
      </w:pPr>
      <w:r>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r w:rsidR="003518A2">
        <w:rPr>
          <w:rFonts w:ascii="Tahoma" w:hAnsi="Tahoma" w:cs="Tahoma"/>
          <w:lang w:val="sv-SE"/>
        </w:rPr>
        <w:t>{telp}</w:t>
      </w:r>
    </w:p>
    <w:p w:rsidR="00A77B3E" w:rsidRPr="002265F0" w:rsidRDefault="000052A0">
      <w:pPr>
        <w:ind w:left="360"/>
        <w:rPr>
          <w:rFonts w:ascii="Tahoma" w:hAnsi="Tahoma" w:cs="Tahoma"/>
          <w:lang w:val="sv-SE"/>
        </w:rPr>
      </w:pPr>
      <w:r w:rsidRPr="002265F0">
        <w:rPr>
          <w:rFonts w:ascii="Tahoma" w:hAnsi="Tahoma" w:cs="Tahoma"/>
          <w:lang w:val="sv-SE"/>
        </w:rPr>
        <w:t xml:space="preserve">HP  : </w:t>
      </w:r>
      <w:r w:rsidR="003518A2">
        <w:rPr>
          <w:rFonts w:ascii="Tahoma" w:hAnsi="Tahoma" w:cs="Tahoma"/>
          <w:lang w:val="sv-SE"/>
        </w:rPr>
        <w:t>{hp}</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0052A0">
      <w:pPr>
        <w:jc w:val="center"/>
        <w:rPr>
          <w:rFonts w:ascii="Tahoma" w:hAnsi="Tahoma" w:cs="Tahoma"/>
          <w:b/>
          <w:bCs/>
          <w:lang w:val="sv-SE"/>
        </w:rPr>
      </w:pPr>
      <w:r w:rsidRPr="002265F0">
        <w:rPr>
          <w:rFonts w:ascii="Tahoma" w:hAnsi="Tahoma" w:cs="Tahoma"/>
          <w:b/>
          <w:bCs/>
          <w:lang w:val="sv-SE"/>
        </w:rPr>
        <w:lastRenderedPageBreak/>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{nama_direktur}</w:t>
            </w:r>
          </w:p>
          <w:p w:rsidR="00A77B3E" w:rsidRPr="002265F0" w:rsidRDefault="00625DD0">
            <w:pPr>
              <w:jc w:val="center"/>
              <w:rPr>
                <w:rFonts w:ascii="Tahoma" w:hAnsi="Tahoma" w:cs="Tahoma"/>
                <w:b/>
                <w:bCs/>
                <w:lang w:val="en-US"/>
              </w:rPr>
            </w:pPr>
            <w:r>
              <w:rPr>
                <w:rFonts w:ascii="Tahoma" w:hAnsi="Tahoma" w:cs="Tahoma"/>
                <w:b/>
                <w:bCs/>
                <w:lang w:val="en-US"/>
              </w:rPr>
              <w:t>{jabatan_direktur}</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{nama_gm}</w:t>
            </w:r>
          </w:p>
          <w:p w:rsidR="00A77B3E" w:rsidRPr="002265F0" w:rsidRDefault="00625DD0">
            <w:pPr>
              <w:jc w:val="center"/>
              <w:rPr>
                <w:rFonts w:ascii="Tahoma" w:hAnsi="Tahoma" w:cs="Tahoma"/>
                <w:b/>
                <w:bCs/>
                <w:lang w:val="en-US"/>
              </w:rPr>
            </w:pPr>
            <w:r>
              <w:rPr>
                <w:rFonts w:ascii="Tahoma" w:hAnsi="Tahoma" w:cs="Tahoma"/>
                <w:b/>
                <w:bCs/>
                <w:lang w:val="en-US"/>
              </w:rPr>
              <w:t>{jabatan_gm}</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7"/>
      <w:footerReference w:type="default" r:id="rId8"/>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80F" w:rsidRDefault="00B2780F">
      <w:r>
        <w:separator/>
      </w:r>
    </w:p>
  </w:endnote>
  <w:endnote w:type="continuationSeparator" w:id="0">
    <w:p w:rsidR="00B2780F" w:rsidRDefault="00B2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E5365E">
      <w:rPr>
        <w:noProof/>
        <w:sz w:val="20"/>
        <w:szCs w:val="20"/>
        <w:lang w:val="en-US"/>
      </w:rPr>
      <w:t>10</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80F" w:rsidRDefault="00B2780F">
      <w:r>
        <w:separator/>
      </w:r>
    </w:p>
  </w:footnote>
  <w:footnote w:type="continuationSeparator" w:id="0">
    <w:p w:rsidR="00B2780F" w:rsidRDefault="00B278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15:restartNumberingAfterBreak="0">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15:restartNumberingAfterBreak="0">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15:restartNumberingAfterBreak="0">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15:restartNumberingAfterBreak="0">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15:restartNumberingAfterBreak="0">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15:restartNumberingAfterBreak="0">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15:restartNumberingAfterBreak="0">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15:restartNumberingAfterBreak="0">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15:restartNumberingAfterBreak="0">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15:restartNumberingAfterBreak="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15:restartNumberingAfterBreak="0">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15:restartNumberingAfterBreak="0">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15:restartNumberingAfterBreak="0">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15:restartNumberingAfterBreak="0">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15:restartNumberingAfterBreak="0">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15:restartNumberingAfterBreak="0">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15:restartNumberingAfterBreak="0">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15:restartNumberingAfterBreak="0">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11CEB"/>
    <w:rsid w:val="00013C61"/>
    <w:rsid w:val="000527D3"/>
    <w:rsid w:val="00054BC7"/>
    <w:rsid w:val="00094E93"/>
    <w:rsid w:val="00166B69"/>
    <w:rsid w:val="00173848"/>
    <w:rsid w:val="001C5DDD"/>
    <w:rsid w:val="001D6E76"/>
    <w:rsid w:val="00215E90"/>
    <w:rsid w:val="002265F0"/>
    <w:rsid w:val="00227277"/>
    <w:rsid w:val="0023213B"/>
    <w:rsid w:val="002F3D28"/>
    <w:rsid w:val="003518A2"/>
    <w:rsid w:val="003D072B"/>
    <w:rsid w:val="003F7AE3"/>
    <w:rsid w:val="00563D6C"/>
    <w:rsid w:val="00597A3B"/>
    <w:rsid w:val="0062336E"/>
    <w:rsid w:val="00625DD0"/>
    <w:rsid w:val="00641BCF"/>
    <w:rsid w:val="0068419E"/>
    <w:rsid w:val="00854272"/>
    <w:rsid w:val="008819B1"/>
    <w:rsid w:val="008B276D"/>
    <w:rsid w:val="008B3187"/>
    <w:rsid w:val="00900F1D"/>
    <w:rsid w:val="00965C58"/>
    <w:rsid w:val="0096775D"/>
    <w:rsid w:val="00971CC1"/>
    <w:rsid w:val="00A77B3E"/>
    <w:rsid w:val="00A87B20"/>
    <w:rsid w:val="00AC12E0"/>
    <w:rsid w:val="00AC5500"/>
    <w:rsid w:val="00B2780F"/>
    <w:rsid w:val="00BA2DF1"/>
    <w:rsid w:val="00BF48FD"/>
    <w:rsid w:val="00C41998"/>
    <w:rsid w:val="00C51C77"/>
    <w:rsid w:val="00C65FE1"/>
    <w:rsid w:val="00CC7A5B"/>
    <w:rsid w:val="00D020CA"/>
    <w:rsid w:val="00D13381"/>
    <w:rsid w:val="00D14F6C"/>
    <w:rsid w:val="00D704C6"/>
    <w:rsid w:val="00DE308D"/>
    <w:rsid w:val="00E320F2"/>
    <w:rsid w:val="00E47E39"/>
    <w:rsid w:val="00E5365E"/>
    <w:rsid w:val="00EA512E"/>
    <w:rsid w:val="00EB4611"/>
    <w:rsid w:val="00F1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BB3693"/>
  <w15:docId w15:val="{3B679FFB-4C9E-4121-9C85-37F2EB6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5551</Words>
  <Characters>31642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Fauzi Rahman</cp:lastModifiedBy>
  <cp:revision>37</cp:revision>
  <cp:lastPrinted>2015-09-07T02:59:00Z</cp:lastPrinted>
  <dcterms:created xsi:type="dcterms:W3CDTF">2015-08-27T04:00:00Z</dcterms:created>
  <dcterms:modified xsi:type="dcterms:W3CDTF">2015-10-16T04:13:00Z</dcterms:modified>
</cp:coreProperties>
</file>