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3</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3</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7</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7</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7</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8</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8</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9</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9</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9</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10</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(Opsi A),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Navbar Terpadu &amp; Menu Dropdown Sub-Website: </w:t>
      </w:r>
      <w:r>
        <w:rPr>
          <w:color w:val="444444"/>
          <w:sz w:val="22"/>
          <w:szCs w:val="22"/>
        </w:rPr>
        <w:t xml:space="preserve">Bilah navigasi utama (Navbar) dilengkapi menu dropdown responsif 'Unit Sub-Website' yang memungkinkan pengunjung langsung melompat ke Pondok Pesantren (pp.majlisalihyabogor.id), Madrasah Diniah (md.majlisalihyabogor.id), atau Majelis Taklim (mt.majlisalihyabogor.id) dari halaman mana saja tanpa harus kembali ke beranda, lengkap dengan drawer menu responsif pada layar smartphone.</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(Nama Lembaga &amp; Tagline),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Pesantren (sejarah pendirian, visi dan misi kepesantrenan) serta Profil Pengurus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Pendidikan: </w:t>
      </w:r>
      <w:r>
        <w:rPr>
          <w:color w:val="444444"/>
          <w:sz w:val="22"/>
          <w:szCs w:val="22"/>
        </w:rPr>
        <w:t xml:space="preserve">Informasi Program Pendidikan, Program Unggulan (Tahfidzul Qur'an 30 Juz, Kitab Kuning Turats, Bilingual Arabic &amp; English), Struktur Kurikulum, serta Jadwal Pendidikan (Rutinitas Kegiatan Harian Santri dari bangun tidur hingga istirahat malam).</w:t>
      </w:r>
    </w:p>
    <w:p>
      <w:pPr>
        <w:ind w:left="360" w:hanging="240"/>
        <w:spacing w:before="60" w:after="60" w:line="260" w:lineRule="auto"/>
      </w:pPr>
      <w:r>
        <w:rPr>
          <w:b/>
          <w:color w:val="1B4D3E"/>
          <w:sz w:val="22"/>
          <w:szCs w:val="22"/>
        </w:rPr>
        <w:t xml:space="preserve">•  </w:t>
      </w:r>
      <w:r>
        <w:rPr>
          <w:b/>
          <w:color w:val="222222"/>
          <w:sz w:val="22"/>
          <w:szCs w:val="22"/>
        </w:rPr>
        <w:t xml:space="preserve">Kehidupan Santri: </w:t>
      </w:r>
      <w:r>
        <w:rPr>
          <w:color w:val="444444"/>
          <w:sz w:val="22"/>
          <w:szCs w:val="22"/>
        </w:rPr>
        <w:t xml:space="preserve">Informasi Fasilitas Asrama (kamar santri, masjid, perpustakaan kitab, ruang makan, sarana olahraga, pos kesehatan santri) serta Tata Tertib Santri (disiplin sholat berjamaah &amp; tahajjud, tata tertib jam belajar, aturan ketat larangan gawai/smartphone pribadi, dan etika thalabul 'ilmi).</w:t>
      </w:r>
    </w:p>
    <w:p>
      <w:pPr>
        <w:ind w:left="360" w:hanging="240"/>
        <w:spacing w:before="60" w:after="60" w:line="260" w:lineRule="auto"/>
      </w:pPr>
      <w:r>
        <w:rPr>
          <w:b/>
          <w:color w:val="1B4D3E"/>
          <w:sz w:val="22"/>
          <w:szCs w:val="22"/>
        </w:rPr>
        <w:t xml:space="preserve">•  </w:t>
      </w:r>
      <w:r>
        <w:rPr>
          <w:b/>
          <w:color w:val="222222"/>
          <w:sz w:val="22"/>
          <w:szCs w:val="22"/>
        </w:rPr>
        <w:t xml:space="preserve">Prestasi &amp; Alumni: </w:t>
      </w:r>
      <w:r>
        <w:rPr>
          <w:color w:val="444444"/>
          <w:sz w:val="22"/>
          <w:szCs w:val="22"/>
        </w:rPr>
        <w:t xml:space="preserve">Dokumentasi Prestasi Santri (kejuaraan MTQ, lomba Musabaqah Qira'atil Kutub / MQK, pidato bahasa asing) serta Testimoni Alumni (profil keberhasilan alumni di Al-Azhar Kairo, perguruan tinggi Islam nasional, dan kiprah dakwah di masyarakat).</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keseharian asrama dan Galeri Video YouTube (liputan haul akbar, imtihan santri, khataman Al-Qur'an,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akademik santri, jadwal kepulangan/libur santri, serta warta berita terkini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Panduan alur pendaftaran, persyaratan dokumen, jadwal gelombang tes seleksi, rincian biaya pendidikan, serta integrasi tombol langsung menuju formulir pendaftaran PPDB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ponpes, kontak pengasuh asrama, informasi alamat lengkap,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Integrasi Eksternal: </w:t>
      </w:r>
      <w:r>
        <w:rPr>
          <w:color w:val="444444"/>
          <w:sz w:val="22"/>
          <w:szCs w:val="22"/>
        </w:rPr>
        <w:t xml:space="preserve">Tautan Media Sosial resmi (Instagram, YouTube), Tautan Silang (Cross-Links) ke Website Utama, Madrasah Diniah (md.), Majelis Taklim (mt.), serta Tautan Khusus ke Sistem Manajemen Santri ePesantren (Aplikasi Eksternal).</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madrasah diniah, sambutan kepala madrasah, jadwal waktu belajar sore (Senin - Kamis, 15.30 - 17.00 WIB), tombol pintas pendaftaran murid baru, dan informasi tingkatan kelas.</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Madrasah (sejarah pendirian, visi dan misi pengajaran Al-Qur'an sejak usia dini) serta Profil Pengurus (Kepala Madrasah, Dewan Asatidz/Asatidzah pembimbing jilid Iqro, dan bagian tata usaha kesiswaan).</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Jenjang tingkatan belajar terstruktur (Kelas A: Iqro Jilid 1-3, Kelas B: Iqro Jilid 4-6, Kelas C: Al-Qur'an &amp; Ibadah Praktis), Kurikulum Madrasah Diniyah Takmiliyah (Al-Qur'an &amp; Tajwid, Fiqih Thaharah &amp; Sholat Fardhu, Hafalan Doa Harian &amp; Hadits Adab, Aqidah &amp; Kisah 25 Nabi), serta Jadwal Pembelajaran Sore Santri.</w:t>
      </w:r>
    </w:p>
    <w:p>
      <w:pPr>
        <w:ind w:left="360" w:hanging="240"/>
        <w:spacing w:before="60" w:after="60" w:line="260" w:lineRule="auto"/>
      </w:pPr>
      <w:r>
        <w:rPr>
          <w:b/>
          <w:color w:val="1B4D3E"/>
          <w:sz w:val="22"/>
          <w:szCs w:val="22"/>
        </w:rPr>
        <w:t xml:space="preserve">•  </w:t>
      </w:r>
      <w:r>
        <w:rPr>
          <w:b/>
          <w:color w:val="222222"/>
          <w:sz w:val="22"/>
          <w:szCs w:val="22"/>
        </w:rPr>
        <w:t xml:space="preserve">Tata Tertib Santri: </w:t>
      </w:r>
      <w:r>
        <w:rPr>
          <w:color w:val="444444"/>
          <w:sz w:val="22"/>
          <w:szCs w:val="22"/>
        </w:rPr>
        <w:t xml:space="preserve">Ketentuan disiplin kehadiran tepat waktu, etika busana muslim/muslimah (koko &amp; peci / gamis &amp; jilbab), kewajiban membawa mushaf/Iqro &amp; buku mutaba'ah prestasi mandiri, serta pembinaan adab santun.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santri (pawai akbar tahun baru Islam 1 Muharram, lomba mewarnai kaligrafi, bimbingan sorogan membaca) dan Galeri Video YouTube (pentas seni santri cilik, wisuda khotmil qur'an juz 30, dan simulasi manasik haji).</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evaluasi kenaikan tingkat jilid santri, jadwal libur dan pesantren kilat ramadhan, serta warta berita kegiatan madrasah.</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Panduan 4 langkah alur pendaftaran (formulir, berkas, placement test pemetaan jilid, penetapan kelas), berkas persyaratan dokumen (KK, Akta, Pas Foto), jadwal registrasi, dan rincian biaya pendaftaran terjangkau (Rp 100.000,- termasuk buku prestasi &amp; kit modul).</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Nomor kontak hotline administrasi madrasah (WhatsApp), alamat lengkap ruang kelas madrasah,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Tautan Terpadu: </w:t>
      </w:r>
      <w:r>
        <w:rPr>
          <w:color w:val="444444"/>
          <w:sz w:val="22"/>
          <w:szCs w:val="22"/>
        </w:rPr>
        <w:t xml:space="preserve">Tautan Media Sosial resmi madrasah (Instagram @md.alihyabogor, YouTube, Facebook) serta Tautan Silang (Cross-Links) kembali ke Website Utama (majlisalihyabogor.id), Sub-Website Majelis Taklim (mt.), dan Sub-Website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pPr>
        <w:jc w:val="left"/>
        <w:spacing w:before="240" w:after="100" w:line="276" w:lineRule="auto"/>
      </w:pPr>
      <w:r>
        <w:rPr>
          <w:rFonts w:ascii="Calibri" w:hAnsi="Calibri"/>
          <w:b/>
          <w:color w:val="2E5A44"/>
          <w:sz w:val="25"/>
          <w:szCs w:val="25"/>
        </w:rPr>
        <w:t xml:space="preserve">2.6 Batasan Ruang Lingkup &amp; Integrasi Pihak Ketiga (Out-of-Scope)</w:t>
      </w:r>
    </w:p>
    <w:p>
      <w:pPr>
        <w:spacing w:before="120" w:after="120" w:line="276" w:lineRule="auto"/>
      </w:pPr>
      <w:r>
        <w:rPr/>
        <w:t xml:space="preserve">Untuk menjaga kejelasan batasan tanggung jawab teknis, transparansi pengerjaan, dan efektivitas alokasi investasi, berikut ditegaskan batasan ruang lingkup integrasi sistem pihak ketiga:</w:t>
      </w:r>
    </w:p>
    <w:p>
      <w:pPr>
        <w:pBdr>
          <w:left w:val="single" w:sz="24" w:space="12" w:color="1B4D3E"/>
        </w:pBdr>
        <w:shd w:val="clear" w:color="auto" w:fill="F0F6F3"/>
        <w:spacing w:before="140" w:after="140" w:line="260" w:lineRule="auto"/>
        <w:ind w:left="240" w:right="240"/>
      </w:pPr>
      <w:r>
        <w:rPr>
          <w:b/>
          <w:color w:val="1B4D3E"/>
          <w:sz w:val="21"/>
          <w:szCs w:val="21"/>
        </w:rPr>
        <w:t xml:space="preserve">CATATAN RUANG LINGKUP INTEGRASI ePESANTREN (APLIKASI PIHAK KETIGA): </w:t>
      </w:r>
      <w:r>
        <w:rPr>
          <w:i/>
          <w:color w:val="333333"/>
          <w:sz w:val="21"/>
          <w:szCs w:val="21"/>
        </w:rPr>
        <w:t xml:space="preserve">Aplikasi Manajemen Santri 'ePesantren' merupakan platform perangkat lunak (SaaS / Mobile Application) terpisah milik vendor penyedia pihak ketiga independen. Ruang lingkup pekerjaan tim MRF-ID dalam project scale-up website ini mencakup penyediaan gerbang akses satu klik (Single-Click Gateway &amp; Redirection) pada website utama dan sub-website pondok pesantren (tombol tautan navigasi bilah navbar, kartu profil integrasi layanan, serta tombol unduh/login aplikasi mobile dan web bagi wali santri &amp; asatidz). Project ini TIDAK mencakup perancangan ulang, coding modul internal, maupun pemeliharaan source code sistem aplikasi ePesantren tersebut.</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100" w:after="10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pPr>
        <w:jc w:val="left"/>
        <w:spacing w:before="240" w:after="10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3200" w:type="dxa"/>
            <w:shd w:val="clear" w:color="auto" w:fill="1B4D3E"/>
          </w:tcPr>
          <w:p>
            <w:pPr>
              <w:jc w:val="left"/>
              <w:spacing w:before="80" w:after="80"/>
            </w:pPr>
            <w:r>
              <w:rPr>
                <w:b/>
                <w:color w:val="FFFFFF"/>
                <w:sz w:val="21"/>
                <w:rFonts w:ascii="Calibri" w:hAnsi="Calibri"/>
              </w:rPr>
              <w:t xml:space="preserve">Komponen Pekerjaan</w:t>
            </w:r>
          </w:p>
        </w:tc>
        <w:tc>
          <w:tcPr>
            <w:tcW w:w="3900" w:type="dxa"/>
            <w:shd w:val="clear" w:color="auto" w:fill="1B4D3E"/>
          </w:tcPr>
          <w:p>
            <w:pPr>
              <w:jc w:val="left"/>
              <w:spacing w:before="80" w:after="80"/>
            </w:pPr>
            <w:r>
              <w:rPr>
                <w:b/>
                <w:color w:val="FFFFFF"/>
                <w:sz w:val="21"/>
                <w:rFonts w:ascii="Calibri" w:hAnsi="Calibri"/>
              </w:rPr>
              <w:t xml:space="preserve">Uraian Teknis &amp; Deliverables</w:t>
            </w:r>
          </w:p>
        </w:tc>
        <w:tc>
          <w:tcPr>
            <w:tcW w:w="1800" w:type="dxa"/>
            <w:shd w:val="clear" w:color="auto" w:fill="1B4D3E"/>
          </w:tcPr>
          <w:p>
            <w:pPr>
              <w:jc w:val="left"/>
              <w:spacing w:before="80" w:after="80"/>
            </w:pPr>
            <w:r>
              <w:rPr>
                <w:b/>
                <w:color w:val="FFFFFF"/>
                <w:sz w:val="21"/>
                <w:rFonts w:ascii="Calibri" w:hAnsi="Calibri"/>
              </w:rPr>
              <w:t xml:space="preserve">Alokasi Nilai</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3200" w:type="dxa"/>
            <w:shd w:val="clear" w:color="auto" w:fill="FFFFFF"/>
          </w:tcPr>
          <w:p>
            <w:pPr>
              <w:jc w:val="left"/>
              <w:spacing w:before="60" w:after="60"/>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60" w:after="60"/>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60" w:after="60"/>
              <w:ind w:left="40" w:right="40"/>
            </w:pPr>
            <w:r>
              <w:rPr>
                <w:color w:val="333333"/>
                <w:sz w:val="20"/>
                <w:rFonts w:ascii="Calibri" w:hAnsi="Calibri"/>
              </w:rPr>
              <w:t xml:space="preserve">Rp 2.500.000</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3200" w:type="dxa"/>
            <w:shd w:val="clear" w:color="auto" w:fill="F9FBFA"/>
          </w:tcPr>
          <w:p>
            <w:pPr>
              <w:jc w:val="left"/>
              <w:spacing w:before="60" w:after="60"/>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60" w:after="60"/>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60" w:after="60"/>
              <w:ind w:left="40" w:right="40"/>
            </w:pPr>
            <w:r>
              <w:rPr>
                <w:color w:val="333333"/>
                <w:sz w:val="20"/>
                <w:rFonts w:ascii="Calibri" w:hAnsi="Calibri"/>
              </w:rPr>
              <w:t xml:space="preserve">Rp 4.500.000</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3200" w:type="dxa"/>
            <w:shd w:val="clear" w:color="auto" w:fill="FFFFFF"/>
          </w:tcPr>
          <w:p>
            <w:pPr>
              <w:jc w:val="left"/>
              <w:spacing w:before="60" w:after="60"/>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60" w:after="60"/>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60" w:after="60"/>
              <w:ind w:left="40" w:right="40"/>
            </w:pPr>
            <w:r>
              <w:rPr>
                <w:color w:val="333333"/>
                <w:sz w:val="20"/>
                <w:rFonts w:ascii="Calibri" w:hAnsi="Calibri"/>
              </w:rPr>
              <w:t xml:space="preserve">Rp 3.500.000</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3200" w:type="dxa"/>
            <w:shd w:val="clear" w:color="auto" w:fill="F9FBFA"/>
          </w:tcPr>
          <w:p>
            <w:pPr>
              <w:jc w:val="left"/>
              <w:spacing w:before="60" w:after="60"/>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60" w:after="60"/>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60" w:after="60"/>
              <w:ind w:left="40" w:right="40"/>
            </w:pPr>
            <w:r>
              <w:rPr>
                <w:color w:val="333333"/>
                <w:sz w:val="20"/>
                <w:rFonts w:ascii="Calibri" w:hAnsi="Calibri"/>
              </w:rPr>
              <w:t xml:space="preserve">Rp 3.500.000</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3200" w:type="dxa"/>
            <w:shd w:val="clear" w:color="auto" w:fill="FFFFFF"/>
          </w:tcPr>
          <w:p>
            <w:pPr>
              <w:jc w:val="left"/>
              <w:spacing w:before="60" w:after="60"/>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60" w:after="60"/>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60" w:after="60"/>
              <w:ind w:left="40" w:right="40"/>
            </w:pPr>
            <w:r>
              <w:rPr>
                <w:color w:val="333333"/>
                <w:sz w:val="20"/>
                <w:rFonts w:ascii="Calibri" w:hAnsi="Calibri"/>
              </w:rPr>
              <w:t xml:space="preserve">Rp 1.000.000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333333"/>
                <w:sz w:val="20"/>
                <w:rFonts w:ascii="Calibri" w:hAnsi="Calibri"/>
              </w:rPr>
              <w:t xml:space="preserve">Rp 15.000.000,-</w:t>
            </w:r>
          </w:p>
        </w:tc>
      </w:tr>
      <w:tr>
        <w:tc>
          <w:tcPr>
            <w:tcW w:w="600" w:type="dxa"/>
            <w:shd w:val="clear" w:color="auto" w:fill="FFFFFF"/>
          </w:tcPr>
          <w:p>
            <w:pPr>
              <w:jc w:val="left"/>
              <w:spacing w:before="60" w:after="60"/>
              <w:ind w:left="40" w:right="40"/>
            </w:pPr>
            <w:r>
              <w:rPr>
                <w:color w:val="333333"/>
                <w:sz w:val="20"/>
                <w:rFonts w:ascii="Calibri" w:hAnsi="Calibri"/>
              </w:rPr>
              <w:t xml:space="preserve"/>
            </w:r>
          </w:p>
        </w:tc>
        <w:tc>
          <w:tcPr>
            <w:tcW w:w="3200" w:type="dxa"/>
            <w:shd w:val="clear" w:color="auto" w:fill="FFFFFF"/>
          </w:tcPr>
          <w:p>
            <w:pPr>
              <w:jc w:val="left"/>
              <w:spacing w:before="60" w:after="60"/>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60" w:after="60"/>
              <w:ind w:left="40" w:right="40"/>
            </w:pPr>
            <w:r>
              <w:rPr>
                <w:color w:val="333333"/>
                <w:sz w:val="20"/>
                <w:rFonts w:ascii="Calibri" w:hAnsi="Calibri"/>
              </w:rPr>
              <w:t xml:space="preserve"/>
            </w:r>
          </w:p>
        </w:tc>
        <w:tc>
          <w:tcPr>
            <w:tcW w:w="1800" w:type="dxa"/>
            <w:shd w:val="clear" w:color="auto" w:fill="FFFFFF"/>
          </w:tcPr>
          <w:p>
            <w:pPr>
              <w:jc w:val="left"/>
              <w:spacing w:before="60" w:after="60"/>
              <w:ind w:left="40" w:right="40"/>
            </w:pPr>
            <w:r>
              <w:rPr>
                <w:b/>
                <w:color w:val="1B4D3E"/>
                <w:sz w:val="20"/>
                <w:rFonts w:ascii="Calibri" w:hAnsi="Calibri"/>
              </w:rPr>
              <w:t xml:space="preserve">- Rp 2.500.000,-</w:t>
            </w:r>
          </w:p>
        </w:tc>
      </w:tr>
      <w:tr>
        <w:tc>
          <w:tcPr>
            <w:tcW w:w="600" w:type="dxa"/>
            <w:shd w:val="clear" w:color="auto" w:fill="F9FBFA"/>
          </w:tcPr>
          <w:p>
            <w:pPr>
              <w:jc w:val="left"/>
              <w:spacing w:before="60" w:after="60"/>
              <w:ind w:left="40" w:right="40"/>
            </w:pPr>
            <w:r>
              <w:rPr>
                <w:color w:val="333333"/>
                <w:sz w:val="20"/>
                <w:rFonts w:ascii="Calibri" w:hAnsi="Calibri"/>
              </w:rPr>
              <w:t xml:space="preserve"/>
            </w:r>
          </w:p>
        </w:tc>
        <w:tc>
          <w:tcPr>
            <w:tcW w:w="3200" w:type="dxa"/>
            <w:shd w:val="clear" w:color="auto" w:fill="F9FBFA"/>
          </w:tcPr>
          <w:p>
            <w:pPr>
              <w:jc w:val="left"/>
              <w:spacing w:before="60" w:after="60"/>
              <w:ind w:left="40" w:right="40"/>
            </w:pPr>
            <w:r>
              <w:rPr>
                <w:b/>
                <w:color w:val="1B4D3E"/>
                <w:sz w:val="20"/>
                <w:rFonts w:ascii="Calibri" w:hAnsi="Calibri"/>
              </w:rPr>
              <w:t xml:space="preserve">TOTAL INVESTASI AKHIR (NET)</w:t>
            </w:r>
          </w:p>
        </w:tc>
        <w:tc>
          <w:tcPr>
            <w:tcW w:w="3900" w:type="dxa"/>
            <w:shd w:val="clear" w:color="auto" w:fill="F9FBFA"/>
          </w:tcPr>
          <w:p>
            <w:pPr>
              <w:jc w:val="left"/>
              <w:spacing w:before="60" w:after="60"/>
              <w:ind w:left="40" w:right="40"/>
            </w:pPr>
            <w:r>
              <w:rPr>
                <w:color w:val="333333"/>
                <w:sz w:val="20"/>
                <w:rFonts w:ascii="Calibri" w:hAnsi="Calibri"/>
              </w:rPr>
              <w:t xml:space="preserve"/>
            </w:r>
          </w:p>
        </w:tc>
        <w:tc>
          <w:tcPr>
            <w:tcW w:w="1800" w:type="dxa"/>
            <w:shd w:val="clear" w:color="auto" w:fill="F9FBFA"/>
          </w:tcPr>
          <w:p>
            <w:pPr>
              <w:jc w:val="left"/>
              <w:spacing w:before="60" w:after="60"/>
              <w:ind w:left="40" w:right="40"/>
            </w:pPr>
            <w:r>
              <w:rPr>
                <w:b/>
                <w:color w:val="1B4D3E"/>
                <w:sz w:val="20"/>
                <w:rFonts w:ascii="Calibri" w:hAnsi="Calibri"/>
              </w:rPr>
              <w:t xml:space="preserve">Rp 12.500.000,-</w:t>
            </w:r>
          </w:p>
        </w:tc>
      </w:tr>
    </w:tbl>
    <w:p>
      <w:pPr>
        <w:spacing w:before="100" w:after="100" w:line="276" w:lineRule="auto"/>
      </w:pPr>
    </w:p>
    <w:p>
      <w:pPr>
        <w:jc w:val="left"/>
        <w:spacing w:before="240" w:after="10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140" w:after="14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60" w:after="6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60" w:after="6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60" w:after="6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240" w:after="100" w:line="276" w:lineRule="auto"/>
      </w:pPr>
      <w:r>
        <w:rPr>
          <w:rFonts w:ascii="Calibri" w:hAnsi="Calibri"/>
          <w:b/>
          <w:color w:val="2E5A44"/>
          <w:sz w:val="25"/>
          <w:szCs w:val="25"/>
        </w:rPr>
        <w:t xml:space="preserve">4.4 Skema &amp; Tahapan Pembayaran</w:t>
      </w:r>
    </w:p>
    <w:p>
      <w:pPr>
        <w:ind w:left="360" w:hanging="240"/>
        <w:spacing w:before="60" w:after="6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60" w:after="6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60" w:after="6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100" w:after="100" w:line="276" w:lineRule="auto"/>
      </w:pP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100" w:after="10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