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KURDISH AND ARABIC TEXT IN AN ENGLISH ARTICLE</w:t>
      </w:r>
    </w:p>
    <w:p>
      <w:pPr>
        <w:pStyle w:val="BodyText"/>
      </w:pPr>
      <w:r>
        <w:rPr>
          <w:bCs/>
          <w:b/>
        </w:rPr>
        <w:t xml:space="preserve">Lana Ahmed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rPr>
          <w:bCs/>
          <w:b/>
        </w:rPr>
        <w:t xml:space="preserve">and Karzan Hassan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Kurdish Language, University of Zakho, Duhok, Iraq.</w:t>
      </w:r>
    </w:p>
    <w:p>
      <w:pPr>
        <w:pStyle w:val="BodyText"/>
      </w:pPr>
      <w:r>
        <w:t xml:space="preserve">* Corresponding author. E-mail: lana.ahmed@uoz.edu.krd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Some articles contain a Kurdish (Sorani) or Arabic summary and Arabic words inside English</w:t>
      </w:r>
      <w:r>
        <w:t xml:space="preserve"> </w:t>
      </w:r>
      <w:r>
        <w:t xml:space="preserve">sentences; these must be printed right to left with a font that has all the letters.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Kurdish; Arabic; right-to-left.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word زانکۆ means university in Kurdish and the Arabic word جامعة has the same meaning</w:t>
      </w:r>
      <w:r>
        <w:t xml:space="preserve"> </w:t>
      </w:r>
      <w:r>
        <w:t xml:space="preserve">(Ahmed, 2024).</w:t>
      </w:r>
    </w:p>
    <w:bookmarkEnd w:id="20"/>
    <w:bookmarkStart w:id="21" w:name="kurdish-summary"/>
    <w:p>
      <w:pPr>
        <w:pStyle w:val="Heading1"/>
      </w:pPr>
      <w:r>
        <w:t xml:space="preserve">Kurdish summary</w:t>
      </w:r>
    </w:p>
    <w:p>
      <w:pPr>
        <w:bidi/>
      </w:pPr>
      <w:r>
        <w:rPr>
          <w:rtl/>
        </w:rPr>
        <w:t xml:space="preserve">ئەم توێژینەوەیە باس لە چۆنیەتی نووسینی دەقی کوردی دەکات لە گۆڤاری زانستیدا، و گرنگی فۆنتی گونجاو و ئاراستەی ڕاست بۆ چەپ ڕوون دەکاتەوە.</w:t>
      </w:r>
    </w:p>
    <w:bookmarkEnd w:id="21"/>
    <w:bookmarkStart w:id="22" w:name="arabic-summary"/>
    <w:p>
      <w:pPr>
        <w:pStyle w:val="Heading1"/>
      </w:pPr>
      <w:r>
        <w:t xml:space="preserve">Arabic summary</w:t>
      </w:r>
    </w:p>
    <w:p>
      <w:pPr>
        <w:pStyle w:val="FirstParagraph"/>
      </w:pPr>
      <w:r>
        <w:t xml:space="preserve">يتناول هذا البحث كيفية كتابة النصوص العربية في المجلات العلمية، ويوضح أهمية الخط المناسب واتجاه الكتابة من اليمين إلى اليسار في عام 2024.</w:t>
      </w:r>
    </w:p>
    <w:bookmarkEnd w:id="22"/>
    <w:bookmarkStart w:id="23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Right-to-left text must keep its letters and order.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Ahmed, L. (2024). نووسینی کوردی لە گۆڤاردا.</w:t>
      </w:r>
      <w:r>
        <w:t xml:space="preserve"> </w:t>
      </w:r>
      <w:r>
        <w:rPr>
          <w:iCs/>
          <w:i/>
        </w:rPr>
        <w:t xml:space="preserve">Journal of Kurdish Studies</w:t>
      </w:r>
      <w:r>
        <w:t xml:space="preserve">, 5(1), 1–9.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2026-10-19T18:45:13Z</dcterms:created>
  <dcterms:modified xsi:type="dcterms:W3CDTF">2026-10-19T18:45:13Z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