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31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GENOTYPES OF A GENE IN A SMALL STUDY GROUP</w:t>
      </w:r>
    </w:p>
    <w:p>
      <w:pPr>
        <w:pStyle w:val="BodyText"/>
      </w:pPr>
      <w:r>
        <w:rPr>
          <w:bCs/>
          <w:b/>
        </w:rPr>
        <w:t xml:space="preserve">Rezan Muhammed</w:t>
      </w:r>
      <w:r>
        <w:rPr>
          <w:vertAlign w:val="superscript"/>
          <w:bCs/>
          <w:b/>
        </w:rPr>
        <w:t xml:space="preserve">1,*</w:t>
      </w:r>
      <w:r>
        <w:rPr>
          <w:bCs/>
          <w:b/>
        </w:rPr>
        <w:t xml:space="preserve"> </w:t>
      </w:r>
      <w:r>
        <w:drawing>
          <wp:inline>
            <wp:extent cx="107999" cy="719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tmp7p1ihp1i/img_f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" cy="7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Cs/>
          <w:b/>
        </w:rPr>
        <w:t xml:space="preserve">, and Hero Salah</w:t>
      </w:r>
      <w:r>
        <w:rPr>
          <w:vertAlign w:val="superscript"/>
          <w:bCs/>
          <w:b/>
        </w:rPr>
        <w:t xml:space="preserve">1</w:t>
      </w:r>
      <w:r>
        <w:rPr>
          <w:bCs/>
          <w:b/>
        </w:rPr>
        <w:t xml:space="preserve"> </w:t>
      </w:r>
      <w:r>
        <w:drawing>
          <wp:inline>
            <wp:extent cx="107999" cy="71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tmp/tmp7p1ihp1i/img_f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" cy="7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Department of Biology, College of Education, Salahaddin University-Erbil, Erbil, Iraq.</w:t>
      </w:r>
    </w:p>
    <w:p>
      <w:pPr>
        <w:pStyle w:val="BodyText"/>
      </w:pPr>
      <w:r>
        <w:t xml:space="preserve">* Corresponding author, E-mail: rezan.muhammed@su.edu.krd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Authors format manuscripts freely: numbers glued to headings, parenthesised figure numbers,</w:t>
      </w:r>
      <w:r>
        <w:t xml:space="preserve"> </w:t>
      </w:r>
      <w:r>
        <w:t xml:space="preserve">lettered figure parts and table captions typed inside the first row of the table.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formatting; captions.</w:t>
      </w:r>
    </w:p>
    <w:p>
      <w:pPr>
        <w:pStyle w:val="BodyText"/>
      </w:pPr>
      <w:r>
        <w:rPr>
          <w:bCs/>
          <w:b/>
        </w:rPr>
        <w:t xml:space="preserve">1.INTRODUCTION</w:t>
      </w:r>
    </w:p>
    <w:p>
      <w:pPr>
        <w:pStyle w:val="BodyText"/>
      </w:pPr>
      <w:r>
        <w:t xml:space="preserve">Earlier work by Van Hai et al. (2022) and (Smith, 2019) measured the content in mg g⁻¹ dry weight.</w:t>
      </w:r>
      <w:r>
        <w:t xml:space="preserve"> </w:t>
      </w:r>
      <w:r>
        <w:t xml:space="preserve">The bands are shown in figure 2-A and figure 2-B, the workflow in Fig (1) and the values in Table 1.</w:t>
      </w:r>
    </w:p>
    <w:p>
      <w:pPr>
        <w:pStyle w:val="BodyText"/>
      </w:pPr>
      <w:r>
        <w:drawing>
          <wp:inline>
            <wp:extent cx="1463040" cy="97536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tmp/tmp7p1ihp1i/img_a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 (1): Workflow of the study.</w:t>
      </w:r>
    </w:p>
    <w:p>
      <w:pPr>
        <w:pStyle w:val="BodyText"/>
      </w:pPr>
      <w:r>
        <w:rPr>
          <w:bCs/>
          <w:b/>
        </w:rPr>
        <w:t xml:space="preserve">2.MATERIAL AND METHOD</w:t>
      </w:r>
    </w:p>
    <w:p>
      <w:pPr>
        <w:pStyle w:val="BodyText"/>
      </w:pPr>
      <w:r>
        <w:t xml:space="preserve">The model output is computed as follows and compared with the observed values in every run.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final prediction from the model,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denotes the constant bias of the fitted line.</w:t>
      </w:r>
    </w:p>
    <w:p>
      <w:pPr>
        <w:pStyle w:val="BodyText"/>
      </w:pPr>
      <w:r>
        <w:drawing>
          <wp:inline>
            <wp:extent cx="1463040" cy="97536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tmp/tmp7p1ihp1i/img_b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2-A: Gel electrophoresis of the first locus.</w:t>
      </w:r>
    </w:p>
    <w:p>
      <w:pPr>
        <w:pStyle w:val="BodyText"/>
      </w:pPr>
      <w:r>
        <w:drawing>
          <wp:inline>
            <wp:extent cx="1463040" cy="97536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tmp/tmp7p1ihp1i/img_c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2-B: Genotyping outcomes of the second locus.</w:t>
      </w:r>
    </w:p>
    <w:tbl>
      <w:tblPr>
        <w:tblStyle w:val="Table"/>
        <w:tblW w:type="pct" w:w="3056"/>
        <w:tblLook w:firstRow="1" w:lastRow="0" w:firstColumn="0" w:lastColumn="0" w:noHBand="0" w:noVBand="0" w:val="0020"/>
        <w:jc w:val="start"/>
      </w:tblPr>
      <w:tblGrid>
        <w:gridCol w:w="1650"/>
        <w:gridCol w:w="1540"/>
        <w:gridCol w:w="1650"/>
      </w:tblGrid>
      <w:tr>
        <w:trPr>
          <w:tblHeader w:val="true"/>
        </w:trP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Table (1): Values measured in both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</w:tr>
    </w:tbl>
    <w:p>
      <w:pPr>
        <w:pStyle w:val="BodyText"/>
      </w:pPr>
      <w:r>
        <w:rPr>
          <w:bCs/>
          <w:b/>
        </w:rPr>
        <w:t xml:space="preserve">3.RESULTS</w:t>
      </w:r>
    </w:p>
    <w:p>
      <w:pPr>
        <w:pStyle w:val="BodyText"/>
      </w:pPr>
      <w:r>
        <w:t xml:space="preserve">The values differ between the groups.</w:t>
      </w:r>
    </w:p>
    <w:p>
      <w:pPr>
        <w:pStyle w:val="BodyText"/>
      </w:pPr>
      <w:r>
        <w:rPr>
          <w:bCs/>
          <w:b/>
        </w:rPr>
        <w:t xml:space="preserve">6-REFERENCES</w:t>
      </w:r>
    </w:p>
    <w:p>
      <w:pPr>
        <w:pStyle w:val="BodyText"/>
      </w:pPr>
      <w:r>
        <w:t xml:space="preserve">Smith, J. (2019). A paper with an underscore DOI.</w:t>
      </w:r>
      <w:r>
        <w:t xml:space="preserve"> </w:t>
      </w:r>
      <w:r>
        <w:rPr>
          <w:iCs/>
          <w:i/>
        </w:rPr>
        <w:t xml:space="preserve">Saudi Journal of Medicine &amp; Medical Sciences</w:t>
      </w:r>
      <w:r>
        <w:t xml:space="preserve">, 8(3), 188-195. https://doi.org/10.4103/sjmms.sjmms_357_19</w:t>
      </w:r>
    </w:p>
    <w:p>
      <w:pPr>
        <w:pStyle w:val="BodyText"/>
      </w:pPr>
      <w:r>
        <w:t xml:space="preserve">Van Hai, V., Nhung, H. L. T. K., &amp; Silhavy, P. (2022). Toward improving effort estimation.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10, 1–10.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2026-10-20T18:17:48Z</dcterms:created>
  <dcterms:modified xsi:type="dcterms:W3CDTF">2026-10-20T18:17:48Z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