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Review Article</w:t>
      </w:r>
    </w:p>
    <w:p>
      <w:pPr>
        <w:pStyle w:val="BodyText"/>
      </w:pPr>
      <w:r>
        <w:rPr>
          <w:bCs/>
          <w:b/>
        </w:rPr>
        <w:t xml:space="preserve">DEEP LEARNING FOR CROP YIELD PREDICTION</w:t>
      </w:r>
    </w:p>
    <w:p>
      <w:pPr>
        <w:pStyle w:val="BodyText"/>
      </w:pPr>
      <w:r>
        <w:rPr>
          <w:bCs/>
          <w:b/>
        </w:rPr>
        <w:t xml:space="preserve">Karwan Ali 1, Dilan Omer 1</w:t>
      </w:r>
    </w:p>
    <w:p>
      <w:pPr>
        <w:pStyle w:val="BodyText"/>
      </w:pPr>
      <w:r>
        <w:t xml:space="preserve">Department of Computer Science, Faculty of Science, University of Zakho, Duhok, Iraq.</w:t>
      </w:r>
    </w:p>
    <w:p>
      <w:pPr>
        <w:pStyle w:val="BodyText"/>
      </w:pPr>
      <w:r>
        <w:t xml:space="preserve">* Corresponding author: karwan.ali@uoz.edu.krd</w:t>
      </w:r>
    </w:p>
    <w:p>
      <w:pPr>
        <w:pStyle w:val="BodyText"/>
      </w:pPr>
      <w:r>
        <w:t xml:space="preserve">Abstract: Crop yield prediction is studied with deep networks [1]. We compare three models on</w:t>
      </w:r>
      <w:r>
        <w:t xml:space="preserve"> </w:t>
      </w:r>
      <w:r>
        <w:t xml:space="preserve">public data and report the error of each model in a table with merged header cells.</w:t>
      </w:r>
    </w:p>
    <w:p>
      <w:pPr>
        <w:pStyle w:val="BodyText"/>
      </w:pPr>
      <w:r>
        <w:t xml:space="preserve">Index Terms— deep learning; agriculture; regression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Prior work used classical regression [1], [2] and tree models [3]. Recent studies [2–3] show gains.</w:t>
      </w:r>
      <w:r>
        <w:t xml:space="preserve"> </w:t>
      </w:r>
      <w:r>
        <w:t xml:space="preserve">The model is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 the loss is given in Equation 1.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bookmarkEnd w:id="20"/>
    <w:bookmarkStart w:id="24" w:name="methodology"/>
    <w:p>
      <w:pPr>
        <w:pStyle w:val="Heading1"/>
      </w:pPr>
      <w:r>
        <w:t xml:space="preserve">METHODOLOGY</w:t>
      </w:r>
    </w:p>
    <w:bookmarkStart w:id="22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The data set has 1,200 samples.</w:t>
      </w:r>
      <w:r>
        <w:rPr>
          <w:rStyle w:val="FootnoteReference"/>
        </w:rPr>
        <w:footnoteReference w:id="21"/>
      </w:r>
    </w:p>
    <w:bookmarkEnd w:id="22"/>
    <w:bookmarkStart w:id="23" w:name="models"/>
    <w:p>
      <w:pPr>
        <w:pStyle w:val="Heading2"/>
      </w:pPr>
      <w:r>
        <w:t xml:space="preserve">Models</w:t>
      </w:r>
    </w:p>
    <w:p>
      <w:pPr>
        <w:pStyle w:val="TableCaption"/>
      </w:pPr>
      <w:r>
        <w:t xml:space="preserve">Table 1. Errors of the models.</w:t>
      </w:r>
    </w:p>
    <w:tbl>
      <w:tblPr>
        <w:tblStyle w:val="Table"/>
        <w:tblW w:type="pct" w:w="2083"/>
        <w:tblLook w:firstRow="1" w:lastRow="0" w:firstColumn="0" w:lastColumn="0" w:noHBand="0" w:noVBand="0" w:val="0020"/>
        <w:jc w:val="start"/>
        <w:tblCaption w:val="Table 1. Errors of the models."/>
      </w:tblPr>
      <w:tblGrid>
        <w:gridCol w:w="1320"/>
        <w:gridCol w:w="990"/>
        <w:gridCol w:w="990"/>
      </w:tblGrid>
      <w:tr>
        <w:trPr>
          <w:tblHeader w:val="true"/>
        </w:trP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rPr>
          <w:tblHeader w:val="true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</w:tr>
    </w:tbl>
    <w:bookmarkEnd w:id="23"/>
    <w:bookmarkEnd w:id="24"/>
    <w:bookmarkStart w:id="2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LSTM model is best [3].</w:t>
      </w:r>
    </w:p>
    <w:bookmarkEnd w:id="25"/>
    <w:bookmarkStart w:id="26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A. Author,</w:t>
      </w:r>
      <w:r>
        <w:t xml:space="preserve"> </w:t>
      </w:r>
      <w:r>
        <w:t xml:space="preserve">“</w:t>
      </w:r>
      <w:r>
        <w:t xml:space="preserve">First paper,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A</w:t>
      </w:r>
      <w:r>
        <w:t xml:space="preserve">, vol. 1, pp. 1–10, 2020.</w:t>
      </w:r>
    </w:p>
    <w:p>
      <w:pPr>
        <w:pStyle w:val="BodyText"/>
      </w:pPr>
      <w:r>
        <w:t xml:space="preserve">[2] B. Author,</w:t>
      </w:r>
      <w:r>
        <w:t xml:space="preserve"> </w:t>
      </w:r>
      <w:r>
        <w:t xml:space="preserve">“</w:t>
      </w:r>
      <w:r>
        <w:t xml:space="preserve">Second paper,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B</w:t>
      </w:r>
      <w:r>
        <w:t xml:space="preserve">, vol. 2, pp. 11–20, 2021.</w:t>
      </w:r>
    </w:p>
    <w:p>
      <w:pPr>
        <w:pStyle w:val="BodyText"/>
      </w:pPr>
      <w:r>
        <w:t xml:space="preserve">[3] C. Author,</w:t>
      </w:r>
      <w:r>
        <w:t xml:space="preserve"> </w:t>
      </w:r>
      <w:r>
        <w:t xml:space="preserve">“</w:t>
      </w:r>
      <w:r>
        <w:t xml:space="preserve">Third paper,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C</w:t>
      </w:r>
      <w:r>
        <w:t xml:space="preserve">, vol. 3, pp. 21–30, 2022. doi: 10.1000/ccc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Collected in 2024.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2026-10-19T18:05:46Z</dcterms:created>
  <dcterms:modified xsi:type="dcterms:W3CDTF">2026-10-19T18:05:46Z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