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Kipas Angin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Kipas Angin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Kipas Angin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5,497,987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Apr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Meghan Trainor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Kipas Angin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Kipas Angin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ADMEDIKA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Kipas Angin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April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Meghan Trainor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̶/̶ ̶T̶a̶h̶u̶n̶a̶n̶ ̶/ 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878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3,273,891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128,102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5,497,987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767,584.27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983,290,802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Back to Back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Kipas Angin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Kim Taehyung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5115100200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Kim Woo Bin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5115100013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Song Ji Hyo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5115100011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 Kyung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Shafira Aisyah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5115100018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Lee Kwang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