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60" w:before="120"/>
      </w:pPr>
      <w:r>
        <w:rPr>
          <w:rFonts w:ascii="Times New Roman" w:cs="Times New Roman" w:eastAsia="Times New Roman" w:hAnsi="Times New Roman"/>
          <w:b/>
          <w:bCs/>
          <w:i w:val="false"/>
          <w:iCs w:val="false"/>
          <w:sz w:val="26"/>
          <w:szCs w:val="26"/>
        </w:rPr>
        <w:t xml:space="preserve">4.x Revisi Hasil Pengujian User Acceptance Testing (UAT)</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Pengujian </w:t>
      </w:r>
      <w:r>
        <w:rPr>
          <w:rFonts w:ascii="Times New Roman" w:cs="Times New Roman" w:eastAsia="Times New Roman" w:hAnsi="Times New Roman"/>
          <w:b w:val="false"/>
          <w:bCs w:val="false"/>
          <w:i/>
          <w:iCs/>
          <w:sz w:val="24"/>
          <w:szCs w:val="24"/>
        </w:rPr>
        <w:t xml:space="preserve">User Acceptance Testing</w:t>
      </w:r>
      <w:r>
        <w:rPr>
          <w:rFonts w:ascii="Times New Roman" w:cs="Times New Roman" w:eastAsia="Times New Roman" w:hAnsi="Times New Roman"/>
          <w:b w:val="false"/>
          <w:bCs w:val="false"/>
          <w:i w:val="false"/>
          <w:iCs w:val="false"/>
          <w:sz w:val="24"/>
          <w:szCs w:val="24"/>
        </w:rPr>
        <w:t xml:space="preserve"> (UAT) dilakukan untuk mengukur tingkat penerimaan dan kepuasan pengguna terhadap aplikasi Smart Residence. Pengujian melibatkan 4 (empat) responden yang mewakili tiga kategori pengguna, yaitu Penghuni, Pengelola/Admin, dan Petugas Keamanan (Satpam). Instrumen yang digunakan berupa kuesioner berisi 10 (sepuluh) pernyataan dengan skala Likert 1 sampai 5, di mana nilai 1 menyatakan “Sangat Tidak Setuju” dan nilai 5 menyatakan “Sangat Setuju”.</w:t>
      </w:r>
    </w:p>
    <w:p>
      <w:pPr>
        <w:pStyle w:val="Heading3"/>
        <w:spacing w:after="120" w:before="160"/>
      </w:pPr>
      <w:r>
        <w:rPr>
          <w:rFonts w:ascii="Times New Roman" w:cs="Times New Roman" w:eastAsia="Times New Roman" w:hAnsi="Times New Roman"/>
          <w:b/>
          <w:bCs/>
          <w:i w:val="false"/>
          <w:iCs w:val="false"/>
          <w:sz w:val="24"/>
          <w:szCs w:val="24"/>
        </w:rPr>
        <w:t xml:space="preserve">4.x.1 Rumus Perhitungan Hasil UAT</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Data jawaban responden diolah menggunakan analisis skala Likert. Rata-rata (mean) skor untuk setiap pernyataan dihitung dengan membagi jumlah seluruh skor jawaban dengan jumlah responden, sebagaimana ditunjukkan pada Rumus (4.1).</w:t>
      </w:r>
    </w:p>
    <w:p>
      <w:pPr>
        <w:tabs>
          <w:tab w:val="right" w:pos="9000"/>
        </w:tabs>
        <w:spacing w:after="60" w:before="60" w:line="360"/>
        <w:ind w:left="900"/>
        <w:jc w:val="left"/>
      </w:pPr>
      <w:r>
        <w:rPr>
          <w:rFonts w:ascii="Times New Roman" w:cs="Times New Roman" w:eastAsia="Times New Roman" w:hAnsi="Times New Roman"/>
          <w:b w:val="false"/>
          <w:bCs w:val="false"/>
          <w:i/>
          <w:iCs/>
          <w:sz w:val="24"/>
          <w:szCs w:val="24"/>
        </w:rPr>
        <w:t xml:space="preserve">x̄ = ΣX / n</w:t>
      </w:r>
      <w:r>
        <w:rPr>
          <w:rFonts w:ascii="Times New Roman" w:cs="Times New Roman" w:eastAsia="Times New Roman" w:hAnsi="Times New Roman"/>
        </w:rPr>
        <w:tab/>
      </w:r>
      <w:r>
        <w:rPr>
          <w:rFonts w:ascii="Times New Roman" w:cs="Times New Roman" w:eastAsia="Times New Roman" w:hAnsi="Times New Roman"/>
          <w:b w:val="false"/>
          <w:bCs w:val="false"/>
          <w:i w:val="false"/>
          <w:iCs w:val="false"/>
          <w:sz w:val="24"/>
          <w:szCs w:val="24"/>
        </w:rPr>
        <w:t xml:space="preserve">(4.1)</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Persentase penerimaan setiap pernyataan diperoleh dengan membandingkan jumlah skor aktual terhadap skor maksimum ideal (jumlah responden dikali skor tertinggi), lalu dikalikan 100%, seperti pada Rumus (4.2).</w:t>
      </w:r>
    </w:p>
    <w:p>
      <w:pPr>
        <w:tabs>
          <w:tab w:val="right" w:pos="9000"/>
        </w:tabs>
        <w:spacing w:after="60" w:before="60" w:line="360"/>
        <w:ind w:left="900"/>
        <w:jc w:val="left"/>
      </w:pPr>
      <w:r>
        <w:rPr>
          <w:rFonts w:ascii="Times New Roman" w:cs="Times New Roman" w:eastAsia="Times New Roman" w:hAnsi="Times New Roman"/>
          <w:b w:val="false"/>
          <w:bCs w:val="false"/>
          <w:i/>
          <w:iCs/>
          <w:sz w:val="24"/>
          <w:szCs w:val="24"/>
        </w:rPr>
        <w:t xml:space="preserve">P = ( ΣX / (n × 5) ) × 100%</w:t>
      </w:r>
      <w:r>
        <w:rPr>
          <w:rFonts w:ascii="Times New Roman" w:cs="Times New Roman" w:eastAsia="Times New Roman" w:hAnsi="Times New Roman"/>
        </w:rPr>
        <w:tab/>
      </w:r>
      <w:r>
        <w:rPr>
          <w:rFonts w:ascii="Times New Roman" w:cs="Times New Roman" w:eastAsia="Times New Roman" w:hAnsi="Times New Roman"/>
          <w:b w:val="false"/>
          <w:bCs w:val="false"/>
          <w:i w:val="false"/>
          <w:iCs w:val="false"/>
          <w:sz w:val="24"/>
          <w:szCs w:val="24"/>
        </w:rPr>
        <w:t xml:space="preserve">(4.2)</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Nilai rata-rata keseluruhan (indeks penerimaan sistem) dihitung dari total seluruh skor pada semua pernyataan dibagi skor maksimum ideal seluruh butir, seperti pada Rumus (4.3).</w:t>
      </w:r>
    </w:p>
    <w:p>
      <w:pPr>
        <w:tabs>
          <w:tab w:val="right" w:pos="9000"/>
        </w:tabs>
        <w:spacing w:after="60" w:before="60" w:line="360"/>
        <w:ind w:left="900"/>
        <w:jc w:val="left"/>
      </w:pP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iCs/>
          <w:sz w:val="24"/>
          <w:szCs w:val="24"/>
          <w:vertAlign w:val="subscript"/>
        </w:rPr>
        <w:t xml:space="preserve">total</w:t>
      </w:r>
      <w:r>
        <w:rPr>
          <w:rFonts w:ascii="Times New Roman" w:cs="Times New Roman" w:eastAsia="Times New Roman" w:hAnsi="Times New Roman"/>
          <w:b w:val="false"/>
          <w:bCs w:val="false"/>
          <w:i/>
          <w:iCs/>
          <w:sz w:val="24"/>
          <w:szCs w:val="24"/>
        </w:rPr>
        <w:t xml:space="preserve"> = ( ΣX</w:t>
      </w:r>
      <w:r>
        <w:rPr>
          <w:rFonts w:ascii="Times New Roman" w:cs="Times New Roman" w:eastAsia="Times New Roman" w:hAnsi="Times New Roman"/>
          <w:b w:val="false"/>
          <w:bCs w:val="false"/>
          <w:i/>
          <w:iCs/>
          <w:sz w:val="24"/>
          <w:szCs w:val="24"/>
          <w:vertAlign w:val="subscript"/>
        </w:rPr>
        <w:t xml:space="preserve">total</w:t>
      </w:r>
      <w:r>
        <w:rPr>
          <w:rFonts w:ascii="Times New Roman" w:cs="Times New Roman" w:eastAsia="Times New Roman" w:hAnsi="Times New Roman"/>
          <w:b w:val="false"/>
          <w:bCs w:val="false"/>
          <w:i/>
          <w:iCs/>
          <w:sz w:val="24"/>
          <w:szCs w:val="24"/>
        </w:rPr>
        <w:t xml:space="preserve"> / (n × 5 × k) ) × 100%</w:t>
      </w:r>
      <w:r>
        <w:rPr>
          <w:rFonts w:ascii="Times New Roman" w:cs="Times New Roman" w:eastAsia="Times New Roman" w:hAnsi="Times New Roman"/>
        </w:rPr>
        <w:tab/>
      </w:r>
      <w:r>
        <w:rPr>
          <w:rFonts w:ascii="Times New Roman" w:cs="Times New Roman" w:eastAsia="Times New Roman" w:hAnsi="Times New Roman"/>
          <w:b w:val="false"/>
          <w:bCs w:val="false"/>
          <w:i w:val="false"/>
          <w:iCs w:val="false"/>
          <w:sz w:val="24"/>
          <w:szCs w:val="24"/>
        </w:rPr>
        <w:t xml:space="preserve">(4.3)</w:t>
      </w:r>
    </w:p>
    <w:p>
      <w:pPr>
        <w:spacing w:after="40" w:line="360"/>
        <w:jc w:val="both"/>
      </w:pPr>
      <w:r>
        <w:rPr>
          <w:rFonts w:ascii="Times New Roman" w:cs="Times New Roman" w:eastAsia="Times New Roman" w:hAnsi="Times New Roman"/>
          <w:b/>
          <w:bCs/>
          <w:i w:val="false"/>
          <w:iCs w:val="false"/>
          <w:sz w:val="24"/>
          <w:szCs w:val="24"/>
        </w:rPr>
        <w:t xml:space="preserve">Keterangan:</w:t>
      </w:r>
    </w:p>
    <w:p>
      <w:pPr>
        <w:spacing w:after="20" w:line="360"/>
        <w:jc w:val="left"/>
      </w:pPr>
      <w:r>
        <w:rPr>
          <w:rFonts w:ascii="Times New Roman" w:cs="Times New Roman" w:eastAsia="Times New Roman" w:hAnsi="Times New Roman"/>
          <w:b w:val="false"/>
          <w:bCs w:val="false"/>
          <w:i/>
          <w:iCs/>
          <w:sz w:val="24"/>
          <w:szCs w:val="24"/>
        </w:rPr>
        <w:t xml:space="preserve">x̄</w:t>
      </w:r>
      <w:r>
        <w:rPr>
          <w:rFonts w:ascii="Times New Roman" w:cs="Times New Roman" w:eastAsia="Times New Roman" w:hAnsi="Times New Roman"/>
          <w:b w:val="false"/>
          <w:bCs w:val="false"/>
          <w:i w:val="false"/>
          <w:iCs w:val="false"/>
          <w:sz w:val="24"/>
          <w:szCs w:val="24"/>
        </w:rPr>
        <w:t xml:space="preserve">	= rata-rata (mean) skor satu pernyataan</w:t>
      </w:r>
    </w:p>
    <w:p>
      <w:pPr>
        <w:spacing w:after="20" w:line="360"/>
        <w:jc w:val="left"/>
      </w:pP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persentase penerimaan tiap pernyataan</w:t>
      </w:r>
    </w:p>
    <w:p>
      <w:pPr>
        <w:spacing w:after="20" w:line="360"/>
        <w:jc w:val="left"/>
      </w:pP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iCs/>
          <w:sz w:val="24"/>
          <w:szCs w:val="24"/>
          <w:vertAlign w:val="subscript"/>
        </w:rPr>
        <w:t xml:space="preserve">total</w:t>
      </w:r>
      <w:r>
        <w:rPr>
          <w:rFonts w:ascii="Times New Roman" w:cs="Times New Roman" w:eastAsia="Times New Roman" w:hAnsi="Times New Roman"/>
          <w:b w:val="false"/>
          <w:bCs w:val="false"/>
          <w:i w:val="false"/>
          <w:iCs w:val="false"/>
          <w:sz w:val="24"/>
          <w:szCs w:val="24"/>
        </w:rPr>
        <w:t xml:space="preserve">	= persentase penerimaan keseluruhan</w:t>
      </w:r>
    </w:p>
    <w:p>
      <w:pPr>
        <w:spacing w:after="20" w:line="360"/>
        <w:jc w:val="left"/>
      </w:pPr>
      <w:r>
        <w:rPr>
          <w:rFonts w:ascii="Times New Roman" w:cs="Times New Roman" w:eastAsia="Times New Roman" w:hAnsi="Times New Roman"/>
          <w:b w:val="false"/>
          <w:bCs w:val="false"/>
          <w:i/>
          <w:iCs/>
          <w:sz w:val="24"/>
          <w:szCs w:val="24"/>
        </w:rPr>
        <w:t xml:space="preserve">ΣX</w:t>
      </w:r>
      <w:r>
        <w:rPr>
          <w:rFonts w:ascii="Times New Roman" w:cs="Times New Roman" w:eastAsia="Times New Roman" w:hAnsi="Times New Roman"/>
          <w:b w:val="false"/>
          <w:bCs w:val="false"/>
          <w:i w:val="false"/>
          <w:iCs w:val="false"/>
          <w:sz w:val="24"/>
          <w:szCs w:val="24"/>
        </w:rPr>
        <w:t xml:space="preserve">	= jumlah skor seluruh responden pada satu pernyataan</w:t>
      </w:r>
    </w:p>
    <w:p>
      <w:pPr>
        <w:spacing w:after="20" w:line="360"/>
        <w:jc w:val="left"/>
      </w:pPr>
      <w:r>
        <w:rPr>
          <w:rFonts w:ascii="Times New Roman" w:cs="Times New Roman" w:eastAsia="Times New Roman" w:hAnsi="Times New Roman"/>
          <w:b w:val="false"/>
          <w:bCs w:val="false"/>
          <w:i/>
          <w:iCs/>
          <w:sz w:val="24"/>
          <w:szCs w:val="24"/>
        </w:rPr>
        <w:t xml:space="preserve">ΣX</w:t>
      </w:r>
      <w:r>
        <w:rPr>
          <w:rFonts w:ascii="Times New Roman" w:cs="Times New Roman" w:eastAsia="Times New Roman" w:hAnsi="Times New Roman"/>
          <w:b w:val="false"/>
          <w:bCs w:val="false"/>
          <w:i/>
          <w:iCs/>
          <w:sz w:val="24"/>
          <w:szCs w:val="24"/>
          <w:vertAlign w:val="subscript"/>
        </w:rPr>
        <w:t xml:space="preserve">total</w:t>
      </w:r>
      <w:r>
        <w:rPr>
          <w:rFonts w:ascii="Times New Roman" w:cs="Times New Roman" w:eastAsia="Times New Roman" w:hAnsi="Times New Roman"/>
          <w:b w:val="false"/>
          <w:bCs w:val="false"/>
          <w:i w:val="false"/>
          <w:iCs w:val="false"/>
          <w:sz w:val="24"/>
          <w:szCs w:val="24"/>
        </w:rPr>
        <w:t xml:space="preserve">	= jumlah seluruh skor pada semua pernyataan</w:t>
      </w:r>
    </w:p>
    <w:p>
      <w:pPr>
        <w:spacing w:after="20" w:line="360"/>
        <w:jc w:val="left"/>
      </w:pPr>
      <w:r>
        <w:rPr>
          <w:rFonts w:ascii="Times New Roman" w:cs="Times New Roman" w:eastAsia="Times New Roman" w:hAnsi="Times New Roman"/>
          <w:b w:val="false"/>
          <w:bCs w:val="false"/>
          <w:i/>
          <w:iCs/>
          <w:sz w:val="24"/>
          <w:szCs w:val="24"/>
        </w:rPr>
        <w:t xml:space="preserve">n</w:t>
      </w:r>
      <w:r>
        <w:rPr>
          <w:rFonts w:ascii="Times New Roman" w:cs="Times New Roman" w:eastAsia="Times New Roman" w:hAnsi="Times New Roman"/>
          <w:b w:val="false"/>
          <w:bCs w:val="false"/>
          <w:i w:val="false"/>
          <w:iCs w:val="false"/>
          <w:sz w:val="24"/>
          <w:szCs w:val="24"/>
        </w:rPr>
        <w:t xml:space="preserve">	= jumlah responden</w:t>
      </w:r>
    </w:p>
    <w:p>
      <w:pPr>
        <w:spacing w:after="20" w:line="360"/>
        <w:jc w:val="left"/>
      </w:pP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rPr>
        <w:t xml:space="preserve">	= jumlah pernyataan</w:t>
      </w:r>
    </w:p>
    <w:p>
      <w:pPr>
        <w:spacing w:after="120" w:line="360"/>
        <w:jc w:val="left"/>
      </w:pPr>
      <w:r>
        <w:rPr>
          <w:rFonts w:ascii="Times New Roman" w:cs="Times New Roman" w:eastAsia="Times New Roman" w:hAnsi="Times New Roman"/>
          <w:b w:val="false"/>
          <w:bCs w:val="false"/>
          <w:i/>
          <w:iCs/>
          <w:sz w:val="24"/>
          <w:szCs w:val="24"/>
        </w:rPr>
        <w:t xml:space="preserve">5</w:t>
      </w:r>
      <w:r>
        <w:rPr>
          <w:rFonts w:ascii="Times New Roman" w:cs="Times New Roman" w:eastAsia="Times New Roman" w:hAnsi="Times New Roman"/>
          <w:b w:val="false"/>
          <w:bCs w:val="false"/>
          <w:i w:val="false"/>
          <w:iCs w:val="false"/>
          <w:sz w:val="24"/>
          <w:szCs w:val="24"/>
        </w:rPr>
        <w:t xml:space="preserve">	= skor tertinggi pada skala Likert</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Hasil persentase kemudian diinterpretasikan ke dalam kategori penerimaan berdasarkan skala pada Tabel 4.x berikut.</w:t>
      </w:r>
    </w:p>
    <w:p>
      <w:pPr>
        <w:spacing w:after="80" w:before="120"/>
        <w:jc w:val="center"/>
      </w:pPr>
      <w:r>
        <w:rPr>
          <w:rFonts w:ascii="Times New Roman" w:cs="Times New Roman" w:eastAsia="Times New Roman" w:hAnsi="Times New Roman"/>
          <w:b/>
          <w:bCs/>
          <w:i w:val="false"/>
          <w:iCs w:val="false"/>
          <w:sz w:val="22"/>
          <w:szCs w:val="22"/>
        </w:rPr>
        <w:t xml:space="preserve">Tabel 4.x Kategori Interpretasi Persentase UAT</w:t>
      </w:r>
    </w:p>
    <w:tbl>
      <w:tblPr>
        <w:tblW w:type="dxa" w:w="7600"/>
        <w:tblBorders>
          <w:top w:val="single" w:color="000000" w:sz="4"/>
          <w:left w:val="single" w:color="000000" w:sz="4"/>
          <w:bottom w:val="single" w:color="000000" w:sz="4"/>
          <w:right w:val="single" w:color="000000" w:sz="4"/>
          <w:insideH w:val="single" w:color="000000" w:sz="4"/>
          <w:insideV w:val="single" w:color="000000" w:sz="4"/>
        </w:tblBorders>
      </w:tblPr>
      <w:tblGrid>
        <w:gridCol w:w="3800"/>
        <w:gridCol w:w="3800"/>
      </w:tblGrid>
      <w:tr>
        <w:tc>
          <w:tcPr>
            <w:tcW w:type="dxa" w:w="3800"/>
            <w:shd w:fill="D9E2F3" w:color="auto" w:val="clear"/>
            <w:tcMar>
              <w:top w:type="dxa" w:w="40"/>
              <w:left w:type="dxa" w:w="90"/>
              <w:bottom w:type="dxa" w:w="40"/>
              <w:right w:type="dxa" w:w="90"/>
            </w:tcMar>
          </w:tcPr>
          <w:p>
            <w:pPr>
              <w:spacing w:after="0" w:line="276"/>
              <w:jc w:val="center"/>
            </w:pPr>
            <w:r>
              <w:rPr>
                <w:rFonts w:ascii="Times New Roman" w:cs="Times New Roman" w:eastAsia="Times New Roman" w:hAnsi="Times New Roman"/>
                <w:b/>
                <w:bCs/>
                <w:i w:val="false"/>
                <w:iCs w:val="false"/>
                <w:sz w:val="20"/>
                <w:szCs w:val="20"/>
              </w:rPr>
              <w:t xml:space="preserve">Persentase</w:t>
            </w:r>
          </w:p>
        </w:tc>
        <w:tc>
          <w:tcPr>
            <w:tcW w:type="dxa" w:w="3800"/>
            <w:shd w:fill="D9E2F3" w:color="auto" w:val="clear"/>
            <w:tcMar>
              <w:top w:type="dxa" w:w="40"/>
              <w:left w:type="dxa" w:w="90"/>
              <w:bottom w:type="dxa" w:w="40"/>
              <w:right w:type="dxa" w:w="90"/>
            </w:tcMar>
          </w:tcPr>
          <w:p>
            <w:pPr>
              <w:spacing w:after="0" w:line="276"/>
              <w:jc w:val="center"/>
            </w:pPr>
            <w:r>
              <w:rPr>
                <w:rFonts w:ascii="Times New Roman" w:cs="Times New Roman" w:eastAsia="Times New Roman" w:hAnsi="Times New Roman"/>
                <w:b/>
                <w:bCs/>
                <w:i w:val="false"/>
                <w:iCs w:val="false"/>
                <w:sz w:val="20"/>
                <w:szCs w:val="20"/>
              </w:rPr>
              <w:t xml:space="preserve">Kategori Interpretasi</w:t>
            </w:r>
          </w:p>
        </w:tc>
      </w:tr>
      <w:tr>
        <w:tc>
          <w:tcPr>
            <w:tcW w:type="dxa" w:w="38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0% – 20%</w:t>
            </w:r>
          </w:p>
        </w:tc>
        <w:tc>
          <w:tcPr>
            <w:tcW w:type="dxa" w:w="38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Sangat Tidak Baik</w:t>
            </w:r>
          </w:p>
        </w:tc>
      </w:tr>
      <w:tr>
        <w:tc>
          <w:tcPr>
            <w:tcW w:type="dxa" w:w="38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21% – 40%</w:t>
            </w:r>
          </w:p>
        </w:tc>
        <w:tc>
          <w:tcPr>
            <w:tcW w:type="dxa" w:w="38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Tidak Baik</w:t>
            </w:r>
          </w:p>
        </w:tc>
      </w:tr>
      <w:tr>
        <w:tc>
          <w:tcPr>
            <w:tcW w:type="dxa" w:w="38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41% – 60%</w:t>
            </w:r>
          </w:p>
        </w:tc>
        <w:tc>
          <w:tcPr>
            <w:tcW w:type="dxa" w:w="38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Cukup</w:t>
            </w:r>
          </w:p>
        </w:tc>
      </w:tr>
      <w:tr>
        <w:tc>
          <w:tcPr>
            <w:tcW w:type="dxa" w:w="38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61% – 80%</w:t>
            </w:r>
          </w:p>
        </w:tc>
        <w:tc>
          <w:tcPr>
            <w:tcW w:type="dxa" w:w="38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Baik</w:t>
            </w:r>
          </w:p>
        </w:tc>
      </w:tr>
      <w:tr>
        <w:tc>
          <w:tcPr>
            <w:tcW w:type="dxa" w:w="38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81% – 100%</w:t>
            </w:r>
          </w:p>
        </w:tc>
        <w:tc>
          <w:tcPr>
            <w:tcW w:type="dxa" w:w="38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Sangat Baik</w:t>
            </w:r>
          </w:p>
        </w:tc>
      </w:tr>
    </w:tbl>
    <w:p>
      <w:pPr>
        <w:spacing w:after="80"/>
      </w:pPr>
      <w:r>
        <w:rPr>
          <w:rFonts w:ascii="Times New Roman" w:cs="Times New Roman" w:eastAsia="Times New Roman" w:hAnsi="Times New Roman"/>
          <w:b w:val="false"/>
          <w:bCs w:val="false"/>
          <w:i w:val="false"/>
          <w:iCs w:val="false"/>
          <w:sz w:val="24"/>
          <w:szCs w:val="24"/>
        </w:rPr>
        <w:t xml:space="preserve"/>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Sebagai contoh penerapan Rumus (4.2), pada pernyataan “proses pembayaran iuran secara digital mudah dilakukan” keempat responden memberi skor 4, 5, 3, dan 4, sehingga ΣX = 16 dan x̄ = 16/4 = 4,00. Persentasenya adalah P = (16 / (4 × 5)) × 100% = (16/20) × 100% = 80%, yang termasuk kategori “Baik”. Sementara itu, jumlah seluruh skor dari 4 responden pada 10 pernyataan adalah 191 dari skor maksimum ideal 200 (4 × 5 × 10), sehingga rata-rata keseluruhan menurut Rumus (4.3) adalah P</w:t>
      </w:r>
      <w:r>
        <w:rPr>
          <w:rFonts w:ascii="Times New Roman" w:cs="Times New Roman" w:eastAsia="Times New Roman" w:hAnsi="Times New Roman"/>
          <w:b w:val="false"/>
          <w:bCs w:val="false"/>
          <w:i w:val="false"/>
          <w:iCs w:val="false"/>
          <w:sz w:val="24"/>
          <w:szCs w:val="24"/>
          <w:vertAlign w:val="subscript"/>
        </w:rPr>
        <w:t xml:space="preserve">total</w:t>
      </w:r>
      <w:r>
        <w:rPr>
          <w:rFonts w:ascii="Times New Roman" w:cs="Times New Roman" w:eastAsia="Times New Roman" w:hAnsi="Times New Roman"/>
          <w:b w:val="false"/>
          <w:bCs w:val="false"/>
          <w:i w:val="false"/>
          <w:iCs w:val="false"/>
          <w:sz w:val="24"/>
          <w:szCs w:val="24"/>
        </w:rPr>
        <w:t xml:space="preserve"> = (191/200) × 100% = 95,5%.</w:t>
      </w:r>
    </w:p>
    <w:p>
      <w:pPr>
        <w:pStyle w:val="Heading3"/>
        <w:spacing w:after="120" w:before="160"/>
      </w:pPr>
      <w:r>
        <w:rPr>
          <w:rFonts w:ascii="Times New Roman" w:cs="Times New Roman" w:eastAsia="Times New Roman" w:hAnsi="Times New Roman"/>
          <w:b/>
          <w:bCs/>
          <w:i w:val="false"/>
          <w:iCs w:val="false"/>
          <w:sz w:val="24"/>
          <w:szCs w:val="24"/>
        </w:rPr>
        <w:t xml:space="preserve">4.x.2 Rekapitulasi Hasil UAT</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Rekapitulasi hasil perhitungan untuk seluruh pernyataan disajikan pada Tabel 4.x berikut.</w:t>
      </w:r>
    </w:p>
    <w:p>
      <w:pPr>
        <w:spacing w:after="80" w:before="120"/>
        <w:jc w:val="center"/>
      </w:pPr>
      <w:r>
        <w:rPr>
          <w:rFonts w:ascii="Times New Roman" w:cs="Times New Roman" w:eastAsia="Times New Roman" w:hAnsi="Times New Roman"/>
          <w:b/>
          <w:bCs/>
          <w:i w:val="false"/>
          <w:iCs w:val="false"/>
          <w:sz w:val="22"/>
          <w:szCs w:val="22"/>
        </w:rPr>
        <w:t xml:space="preserve">Tabel 4.x Rekapitulasi Hasil UAT per Pernyataan</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640"/>
        <w:gridCol w:w="4360"/>
        <w:gridCol w:w="1200"/>
        <w:gridCol w:w="1400"/>
        <w:gridCol w:w="1400"/>
      </w:tblGrid>
      <w:tr>
        <w:trPr>
          <w:tblHeader/>
        </w:trPr>
        <w:tc>
          <w:tcPr>
            <w:tcW w:type="dxa" w:w="640"/>
            <w:shd w:fill="D9E2F3" w:color="auto" w:val="clear"/>
            <w:tcMar>
              <w:top w:type="dxa" w:w="40"/>
              <w:left w:type="dxa" w:w="90"/>
              <w:bottom w:type="dxa" w:w="40"/>
              <w:right w:type="dxa" w:w="90"/>
            </w:tcMar>
          </w:tcPr>
          <w:p>
            <w:pPr>
              <w:spacing w:after="0" w:line="276"/>
              <w:jc w:val="center"/>
            </w:pPr>
            <w:r>
              <w:rPr>
                <w:rFonts w:ascii="Times New Roman" w:cs="Times New Roman" w:eastAsia="Times New Roman" w:hAnsi="Times New Roman"/>
                <w:b/>
                <w:bCs/>
                <w:i w:val="false"/>
                <w:iCs w:val="false"/>
                <w:sz w:val="20"/>
                <w:szCs w:val="20"/>
              </w:rPr>
              <w:t xml:space="preserve">No.</w:t>
            </w:r>
          </w:p>
        </w:tc>
        <w:tc>
          <w:tcPr>
            <w:tcW w:type="dxa" w:w="4360"/>
            <w:shd w:fill="D9E2F3" w:color="auto" w:val="clear"/>
            <w:tcMar>
              <w:top w:type="dxa" w:w="40"/>
              <w:left w:type="dxa" w:w="90"/>
              <w:bottom w:type="dxa" w:w="40"/>
              <w:right w:type="dxa" w:w="90"/>
            </w:tcMar>
          </w:tcPr>
          <w:p>
            <w:pPr>
              <w:spacing w:after="0" w:line="276"/>
              <w:jc w:val="center"/>
            </w:pPr>
            <w:r>
              <w:rPr>
                <w:rFonts w:ascii="Times New Roman" w:cs="Times New Roman" w:eastAsia="Times New Roman" w:hAnsi="Times New Roman"/>
                <w:b/>
                <w:bCs/>
                <w:i w:val="false"/>
                <w:iCs w:val="false"/>
                <w:sz w:val="20"/>
                <w:szCs w:val="20"/>
              </w:rPr>
              <w:t xml:space="preserve">Pernyataan</w:t>
            </w:r>
          </w:p>
        </w:tc>
        <w:tc>
          <w:tcPr>
            <w:tcW w:type="dxa" w:w="1200"/>
            <w:shd w:fill="D9E2F3" w:color="auto" w:val="clear"/>
            <w:tcMar>
              <w:top w:type="dxa" w:w="40"/>
              <w:left w:type="dxa" w:w="90"/>
              <w:bottom w:type="dxa" w:w="40"/>
              <w:right w:type="dxa" w:w="90"/>
            </w:tcMar>
          </w:tcPr>
          <w:p>
            <w:pPr>
              <w:spacing w:after="0" w:line="276"/>
              <w:jc w:val="center"/>
            </w:pPr>
            <w:r>
              <w:rPr>
                <w:rFonts w:ascii="Times New Roman" w:cs="Times New Roman" w:eastAsia="Times New Roman" w:hAnsi="Times New Roman"/>
                <w:b/>
                <w:bCs/>
                <w:i w:val="false"/>
                <w:iCs w:val="false"/>
                <w:sz w:val="20"/>
                <w:szCs w:val="20"/>
              </w:rPr>
              <w:t xml:space="preserve">Rata-rata</w:t>
            </w:r>
          </w:p>
        </w:tc>
        <w:tc>
          <w:tcPr>
            <w:tcW w:type="dxa" w:w="1400"/>
            <w:shd w:fill="D9E2F3" w:color="auto" w:val="clear"/>
            <w:tcMar>
              <w:top w:type="dxa" w:w="40"/>
              <w:left w:type="dxa" w:w="90"/>
              <w:bottom w:type="dxa" w:w="40"/>
              <w:right w:type="dxa" w:w="90"/>
            </w:tcMar>
          </w:tcPr>
          <w:p>
            <w:pPr>
              <w:spacing w:after="0" w:line="276"/>
              <w:jc w:val="center"/>
            </w:pPr>
            <w:r>
              <w:rPr>
                <w:rFonts w:ascii="Times New Roman" w:cs="Times New Roman" w:eastAsia="Times New Roman" w:hAnsi="Times New Roman"/>
                <w:b/>
                <w:bCs/>
                <w:i w:val="false"/>
                <w:iCs w:val="false"/>
                <w:sz w:val="20"/>
                <w:szCs w:val="20"/>
              </w:rPr>
              <w:t xml:space="preserve">Persentase</w:t>
            </w:r>
          </w:p>
        </w:tc>
        <w:tc>
          <w:tcPr>
            <w:tcW w:type="dxa" w:w="1400"/>
            <w:shd w:fill="D9E2F3" w:color="auto" w:val="clear"/>
            <w:tcMar>
              <w:top w:type="dxa" w:w="40"/>
              <w:left w:type="dxa" w:w="90"/>
              <w:bottom w:type="dxa" w:w="40"/>
              <w:right w:type="dxa" w:w="90"/>
            </w:tcMar>
          </w:tcPr>
          <w:p>
            <w:pPr>
              <w:spacing w:after="0" w:line="276"/>
              <w:jc w:val="center"/>
            </w:pPr>
            <w:r>
              <w:rPr>
                <w:rFonts w:ascii="Times New Roman" w:cs="Times New Roman" w:eastAsia="Times New Roman" w:hAnsi="Times New Roman"/>
                <w:b/>
                <w:bCs/>
                <w:i w:val="false"/>
                <w:iCs w:val="false"/>
                <w:sz w:val="20"/>
                <w:szCs w:val="20"/>
              </w:rPr>
              <w:t xml:space="preserve">Kategori</w:t>
            </w:r>
          </w:p>
        </w:tc>
      </w:tr>
      <w:tr>
        <w:trPr>
          <w:tblHeader w:val="false"/>
        </w:trPr>
        <w:tc>
          <w:tcPr>
            <w:tcW w:type="dxa" w:w="64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1</w:t>
            </w:r>
          </w:p>
        </w:tc>
        <w:tc>
          <w:tcPr>
            <w:tcW w:type="dxa" w:w="4360"/>
            <w:tcMar>
              <w:top w:type="dxa" w:w="40"/>
              <w:left w:type="dxa" w:w="90"/>
              <w:bottom w:type="dxa" w:w="40"/>
              <w:right w:type="dxa" w:w="90"/>
            </w:tcMar>
          </w:tcPr>
          <w:p>
            <w:pPr>
              <w:spacing w:after="0" w:line="276"/>
              <w:jc w:val="left"/>
            </w:pPr>
            <w:r>
              <w:rPr>
                <w:rFonts w:ascii="Times New Roman" w:cs="Times New Roman" w:eastAsia="Times New Roman" w:hAnsi="Times New Roman"/>
                <w:b w:val="false"/>
                <w:bCs w:val="false"/>
                <w:i w:val="false"/>
                <w:iCs w:val="false"/>
                <w:sz w:val="20"/>
                <w:szCs w:val="20"/>
              </w:rPr>
              <w:t xml:space="preserve">Proses login dan registrasi pada aplikasi mudah dilakukan</w:t>
            </w:r>
          </w:p>
        </w:tc>
        <w:tc>
          <w:tcPr>
            <w:tcW w:type="dxa" w:w="12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5,00</w:t>
            </w:r>
          </w:p>
        </w:tc>
        <w:tc>
          <w:tcPr>
            <w:tcW w:type="dxa" w:w="14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100%</w:t>
            </w:r>
          </w:p>
        </w:tc>
        <w:tc>
          <w:tcPr>
            <w:tcW w:type="dxa" w:w="14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Sangat Baik</w:t>
            </w:r>
          </w:p>
        </w:tc>
      </w:tr>
      <w:tr>
        <w:trPr>
          <w:tblHeader w:val="false"/>
        </w:trPr>
        <w:tc>
          <w:tcPr>
            <w:tcW w:type="dxa" w:w="64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2</w:t>
            </w:r>
          </w:p>
        </w:tc>
        <w:tc>
          <w:tcPr>
            <w:tcW w:type="dxa" w:w="4360"/>
            <w:tcMar>
              <w:top w:type="dxa" w:w="40"/>
              <w:left w:type="dxa" w:w="90"/>
              <w:bottom w:type="dxa" w:w="40"/>
              <w:right w:type="dxa" w:w="90"/>
            </w:tcMar>
          </w:tcPr>
          <w:p>
            <w:pPr>
              <w:spacing w:after="0" w:line="276"/>
              <w:jc w:val="left"/>
            </w:pPr>
            <w:r>
              <w:rPr>
                <w:rFonts w:ascii="Times New Roman" w:cs="Times New Roman" w:eastAsia="Times New Roman" w:hAnsi="Times New Roman"/>
                <w:b w:val="false"/>
                <w:bCs w:val="false"/>
                <w:i w:val="false"/>
                <w:iCs w:val="false"/>
                <w:sz w:val="20"/>
                <w:szCs w:val="20"/>
              </w:rPr>
              <w:t xml:space="preserve">Navigasi dan tampilan antarmuka aplikasi mudah digunakan</w:t>
            </w:r>
          </w:p>
        </w:tc>
        <w:tc>
          <w:tcPr>
            <w:tcW w:type="dxa" w:w="12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5,00</w:t>
            </w:r>
          </w:p>
        </w:tc>
        <w:tc>
          <w:tcPr>
            <w:tcW w:type="dxa" w:w="14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100%</w:t>
            </w:r>
          </w:p>
        </w:tc>
        <w:tc>
          <w:tcPr>
            <w:tcW w:type="dxa" w:w="14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Sangat Baik</w:t>
            </w:r>
          </w:p>
        </w:tc>
      </w:tr>
      <w:tr>
        <w:trPr>
          <w:tblHeader w:val="false"/>
        </w:trPr>
        <w:tc>
          <w:tcPr>
            <w:tcW w:type="dxa" w:w="64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3</w:t>
            </w:r>
          </w:p>
        </w:tc>
        <w:tc>
          <w:tcPr>
            <w:tcW w:type="dxa" w:w="4360"/>
            <w:tcMar>
              <w:top w:type="dxa" w:w="40"/>
              <w:left w:type="dxa" w:w="90"/>
              <w:bottom w:type="dxa" w:w="40"/>
              <w:right w:type="dxa" w:w="90"/>
            </w:tcMar>
          </w:tcPr>
          <w:p>
            <w:pPr>
              <w:spacing w:after="0" w:line="276"/>
              <w:jc w:val="left"/>
            </w:pPr>
            <w:r>
              <w:rPr>
                <w:rFonts w:ascii="Times New Roman" w:cs="Times New Roman" w:eastAsia="Times New Roman" w:hAnsi="Times New Roman"/>
                <w:b w:val="false"/>
                <w:bCs w:val="false"/>
                <w:i w:val="false"/>
                <w:iCs w:val="false"/>
                <w:sz w:val="20"/>
                <w:szCs w:val="20"/>
              </w:rPr>
              <w:t xml:space="preserve">Informasi dan berita yang ditampilkan jelas dan mudah dipahami</w:t>
            </w:r>
          </w:p>
        </w:tc>
        <w:tc>
          <w:tcPr>
            <w:tcW w:type="dxa" w:w="12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5,00</w:t>
            </w:r>
          </w:p>
        </w:tc>
        <w:tc>
          <w:tcPr>
            <w:tcW w:type="dxa" w:w="14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100%</w:t>
            </w:r>
          </w:p>
        </w:tc>
        <w:tc>
          <w:tcPr>
            <w:tcW w:type="dxa" w:w="14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Sangat Baik</w:t>
            </w:r>
          </w:p>
        </w:tc>
      </w:tr>
      <w:tr>
        <w:trPr>
          <w:tblHeader w:val="false"/>
        </w:trPr>
        <w:tc>
          <w:tcPr>
            <w:tcW w:type="dxa" w:w="64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4</w:t>
            </w:r>
          </w:p>
        </w:tc>
        <w:tc>
          <w:tcPr>
            <w:tcW w:type="dxa" w:w="4360"/>
            <w:tcMar>
              <w:top w:type="dxa" w:w="40"/>
              <w:left w:type="dxa" w:w="90"/>
              <w:bottom w:type="dxa" w:w="40"/>
              <w:right w:type="dxa" w:w="90"/>
            </w:tcMar>
          </w:tcPr>
          <w:p>
            <w:pPr>
              <w:spacing w:after="0" w:line="276"/>
              <w:jc w:val="left"/>
            </w:pPr>
            <w:r>
              <w:rPr>
                <w:rFonts w:ascii="Times New Roman" w:cs="Times New Roman" w:eastAsia="Times New Roman" w:hAnsi="Times New Roman"/>
                <w:b w:val="false"/>
                <w:bCs w:val="false"/>
                <w:i w:val="false"/>
                <w:iCs w:val="false"/>
                <w:sz w:val="20"/>
                <w:szCs w:val="20"/>
              </w:rPr>
              <w:t xml:space="preserve">Proses pembayaran iuran secara digital mudah dilakukan</w:t>
            </w:r>
          </w:p>
        </w:tc>
        <w:tc>
          <w:tcPr>
            <w:tcW w:type="dxa" w:w="12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4,00</w:t>
            </w:r>
          </w:p>
        </w:tc>
        <w:tc>
          <w:tcPr>
            <w:tcW w:type="dxa" w:w="14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80%</w:t>
            </w:r>
          </w:p>
        </w:tc>
        <w:tc>
          <w:tcPr>
            <w:tcW w:type="dxa" w:w="14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Baik</w:t>
            </w:r>
          </w:p>
        </w:tc>
      </w:tr>
      <w:tr>
        <w:trPr>
          <w:tblHeader w:val="false"/>
        </w:trPr>
        <w:tc>
          <w:tcPr>
            <w:tcW w:type="dxa" w:w="64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5</w:t>
            </w:r>
          </w:p>
        </w:tc>
        <w:tc>
          <w:tcPr>
            <w:tcW w:type="dxa" w:w="4360"/>
            <w:tcMar>
              <w:top w:type="dxa" w:w="40"/>
              <w:left w:type="dxa" w:w="90"/>
              <w:bottom w:type="dxa" w:w="40"/>
              <w:right w:type="dxa" w:w="90"/>
            </w:tcMar>
          </w:tcPr>
          <w:p>
            <w:pPr>
              <w:spacing w:after="0" w:line="276"/>
              <w:jc w:val="left"/>
            </w:pPr>
            <w:r>
              <w:rPr>
                <w:rFonts w:ascii="Times New Roman" w:cs="Times New Roman" w:eastAsia="Times New Roman" w:hAnsi="Times New Roman"/>
                <w:b w:val="false"/>
                <w:bCs w:val="false"/>
                <w:i w:val="false"/>
                <w:iCs w:val="false"/>
                <w:sz w:val="20"/>
                <w:szCs w:val="20"/>
              </w:rPr>
              <w:t xml:space="preserve">Notifikasi SOS/panggil satpam diterima dengan cepat oleh petugas keamanan</w:t>
            </w:r>
          </w:p>
        </w:tc>
        <w:tc>
          <w:tcPr>
            <w:tcW w:type="dxa" w:w="12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4,50</w:t>
            </w:r>
          </w:p>
        </w:tc>
        <w:tc>
          <w:tcPr>
            <w:tcW w:type="dxa" w:w="14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90%</w:t>
            </w:r>
          </w:p>
        </w:tc>
        <w:tc>
          <w:tcPr>
            <w:tcW w:type="dxa" w:w="14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Sangat Baik</w:t>
            </w:r>
          </w:p>
        </w:tc>
      </w:tr>
      <w:tr>
        <w:trPr>
          <w:tblHeader w:val="false"/>
        </w:trPr>
        <w:tc>
          <w:tcPr>
            <w:tcW w:type="dxa" w:w="64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6</w:t>
            </w:r>
          </w:p>
        </w:tc>
        <w:tc>
          <w:tcPr>
            <w:tcW w:type="dxa" w:w="4360"/>
            <w:tcMar>
              <w:top w:type="dxa" w:w="40"/>
              <w:left w:type="dxa" w:w="90"/>
              <w:bottom w:type="dxa" w:w="40"/>
              <w:right w:type="dxa" w:w="90"/>
            </w:tcMar>
          </w:tcPr>
          <w:p>
            <w:pPr>
              <w:spacing w:after="0" w:line="276"/>
              <w:jc w:val="left"/>
            </w:pPr>
            <w:r>
              <w:rPr>
                <w:rFonts w:ascii="Times New Roman" w:cs="Times New Roman" w:eastAsia="Times New Roman" w:hAnsi="Times New Roman"/>
                <w:b w:val="false"/>
                <w:bCs w:val="false"/>
                <w:i w:val="false"/>
                <w:iCs w:val="false"/>
                <w:sz w:val="20"/>
                <w:szCs w:val="20"/>
              </w:rPr>
              <w:t xml:space="preserve">Pengiriman laporan pengaduan mudah dilakukan</w:t>
            </w:r>
          </w:p>
        </w:tc>
        <w:tc>
          <w:tcPr>
            <w:tcW w:type="dxa" w:w="12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5,00</w:t>
            </w:r>
          </w:p>
        </w:tc>
        <w:tc>
          <w:tcPr>
            <w:tcW w:type="dxa" w:w="14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100%</w:t>
            </w:r>
          </w:p>
        </w:tc>
        <w:tc>
          <w:tcPr>
            <w:tcW w:type="dxa" w:w="14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Sangat Baik</w:t>
            </w:r>
          </w:p>
        </w:tc>
      </w:tr>
      <w:tr>
        <w:trPr>
          <w:tblHeader w:val="false"/>
        </w:trPr>
        <w:tc>
          <w:tcPr>
            <w:tcW w:type="dxa" w:w="64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7</w:t>
            </w:r>
          </w:p>
        </w:tc>
        <w:tc>
          <w:tcPr>
            <w:tcW w:type="dxa" w:w="4360"/>
            <w:tcMar>
              <w:top w:type="dxa" w:w="40"/>
              <w:left w:type="dxa" w:w="90"/>
              <w:bottom w:type="dxa" w:w="40"/>
              <w:right w:type="dxa" w:w="90"/>
            </w:tcMar>
          </w:tcPr>
          <w:p>
            <w:pPr>
              <w:spacing w:after="0" w:line="276"/>
              <w:jc w:val="left"/>
            </w:pPr>
            <w:r>
              <w:rPr>
                <w:rFonts w:ascii="Times New Roman" w:cs="Times New Roman" w:eastAsia="Times New Roman" w:hAnsi="Times New Roman"/>
                <w:b w:val="false"/>
                <w:bCs w:val="false"/>
                <w:i w:val="false"/>
                <w:iCs w:val="false"/>
                <w:sz w:val="20"/>
                <w:szCs w:val="20"/>
              </w:rPr>
              <w:t xml:space="preserve">Fitur yang tersedia dalam aplikasi sudah lengkap sesuai kebutuhan</w:t>
            </w:r>
          </w:p>
        </w:tc>
        <w:tc>
          <w:tcPr>
            <w:tcW w:type="dxa" w:w="12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4,75</w:t>
            </w:r>
          </w:p>
        </w:tc>
        <w:tc>
          <w:tcPr>
            <w:tcW w:type="dxa" w:w="14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95%</w:t>
            </w:r>
          </w:p>
        </w:tc>
        <w:tc>
          <w:tcPr>
            <w:tcW w:type="dxa" w:w="14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Sangat Baik</w:t>
            </w:r>
          </w:p>
        </w:tc>
      </w:tr>
      <w:tr>
        <w:trPr>
          <w:tblHeader w:val="false"/>
        </w:trPr>
        <w:tc>
          <w:tcPr>
            <w:tcW w:type="dxa" w:w="64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8</w:t>
            </w:r>
          </w:p>
        </w:tc>
        <w:tc>
          <w:tcPr>
            <w:tcW w:type="dxa" w:w="4360"/>
            <w:tcMar>
              <w:top w:type="dxa" w:w="40"/>
              <w:left w:type="dxa" w:w="90"/>
              <w:bottom w:type="dxa" w:w="40"/>
              <w:right w:type="dxa" w:w="90"/>
            </w:tcMar>
          </w:tcPr>
          <w:p>
            <w:pPr>
              <w:spacing w:after="0" w:line="276"/>
              <w:jc w:val="left"/>
            </w:pPr>
            <w:r>
              <w:rPr>
                <w:rFonts w:ascii="Times New Roman" w:cs="Times New Roman" w:eastAsia="Times New Roman" w:hAnsi="Times New Roman"/>
                <w:b w:val="false"/>
                <w:bCs w:val="false"/>
                <w:i w:val="false"/>
                <w:iCs w:val="false"/>
                <w:sz w:val="20"/>
                <w:szCs w:val="20"/>
              </w:rPr>
              <w:t xml:space="preserve">Aplikasi berjalan dengan andal dan stabil saat digunakan</w:t>
            </w:r>
          </w:p>
        </w:tc>
        <w:tc>
          <w:tcPr>
            <w:tcW w:type="dxa" w:w="12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4,50</w:t>
            </w:r>
          </w:p>
        </w:tc>
        <w:tc>
          <w:tcPr>
            <w:tcW w:type="dxa" w:w="14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90%</w:t>
            </w:r>
          </w:p>
        </w:tc>
        <w:tc>
          <w:tcPr>
            <w:tcW w:type="dxa" w:w="14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Sangat Baik</w:t>
            </w:r>
          </w:p>
        </w:tc>
      </w:tr>
      <w:tr>
        <w:trPr>
          <w:tblHeader w:val="false"/>
        </w:trPr>
        <w:tc>
          <w:tcPr>
            <w:tcW w:type="dxa" w:w="64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9</w:t>
            </w:r>
          </w:p>
        </w:tc>
        <w:tc>
          <w:tcPr>
            <w:tcW w:type="dxa" w:w="4360"/>
            <w:tcMar>
              <w:top w:type="dxa" w:w="40"/>
              <w:left w:type="dxa" w:w="90"/>
              <w:bottom w:type="dxa" w:w="40"/>
              <w:right w:type="dxa" w:w="90"/>
            </w:tcMar>
          </w:tcPr>
          <w:p>
            <w:pPr>
              <w:spacing w:after="0" w:line="276"/>
              <w:jc w:val="left"/>
            </w:pPr>
            <w:r>
              <w:rPr>
                <w:rFonts w:ascii="Times New Roman" w:cs="Times New Roman" w:eastAsia="Times New Roman" w:hAnsi="Times New Roman"/>
                <w:b w:val="false"/>
                <w:bCs w:val="false"/>
                <w:i w:val="false"/>
                <w:iCs w:val="false"/>
                <w:sz w:val="20"/>
                <w:szCs w:val="20"/>
              </w:rPr>
              <w:t xml:space="preserve">Aplikasi sesuai dengan kebutuhan penghuni/pengguna</w:t>
            </w:r>
          </w:p>
        </w:tc>
        <w:tc>
          <w:tcPr>
            <w:tcW w:type="dxa" w:w="12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5,00</w:t>
            </w:r>
          </w:p>
        </w:tc>
        <w:tc>
          <w:tcPr>
            <w:tcW w:type="dxa" w:w="14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100%</w:t>
            </w:r>
          </w:p>
        </w:tc>
        <w:tc>
          <w:tcPr>
            <w:tcW w:type="dxa" w:w="14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Sangat Baik</w:t>
            </w:r>
          </w:p>
        </w:tc>
      </w:tr>
      <w:tr>
        <w:trPr>
          <w:tblHeader w:val="false"/>
        </w:trPr>
        <w:tc>
          <w:tcPr>
            <w:tcW w:type="dxa" w:w="64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10</w:t>
            </w:r>
          </w:p>
        </w:tc>
        <w:tc>
          <w:tcPr>
            <w:tcW w:type="dxa" w:w="4360"/>
            <w:tcMar>
              <w:top w:type="dxa" w:w="40"/>
              <w:left w:type="dxa" w:w="90"/>
              <w:bottom w:type="dxa" w:w="40"/>
              <w:right w:type="dxa" w:w="90"/>
            </w:tcMar>
          </w:tcPr>
          <w:p>
            <w:pPr>
              <w:spacing w:after="0" w:line="276"/>
              <w:jc w:val="left"/>
            </w:pPr>
            <w:r>
              <w:rPr>
                <w:rFonts w:ascii="Times New Roman" w:cs="Times New Roman" w:eastAsia="Times New Roman" w:hAnsi="Times New Roman"/>
                <w:b w:val="false"/>
                <w:bCs w:val="false"/>
                <w:i w:val="false"/>
                <w:iCs w:val="false"/>
                <w:sz w:val="20"/>
                <w:szCs w:val="20"/>
              </w:rPr>
              <w:t xml:space="preserve">Secara keseluruhan, saya puas terhadap aplikasi Smart Residence</w:t>
            </w:r>
          </w:p>
        </w:tc>
        <w:tc>
          <w:tcPr>
            <w:tcW w:type="dxa" w:w="12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5,00</w:t>
            </w:r>
          </w:p>
        </w:tc>
        <w:tc>
          <w:tcPr>
            <w:tcW w:type="dxa" w:w="14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100%</w:t>
            </w:r>
          </w:p>
        </w:tc>
        <w:tc>
          <w:tcPr>
            <w:tcW w:type="dxa" w:w="1400"/>
            <w:tcMar>
              <w:top w:type="dxa" w:w="40"/>
              <w:left w:type="dxa" w:w="90"/>
              <w:bottom w:type="dxa" w:w="40"/>
              <w:right w:type="dxa" w:w="90"/>
            </w:tcMar>
          </w:tcPr>
          <w:p>
            <w:pPr>
              <w:spacing w:after="0" w:line="276"/>
              <w:jc w:val="center"/>
            </w:pPr>
            <w:r>
              <w:rPr>
                <w:rFonts w:ascii="Times New Roman" w:cs="Times New Roman" w:eastAsia="Times New Roman" w:hAnsi="Times New Roman"/>
                <w:b w:val="false"/>
                <w:bCs w:val="false"/>
                <w:i w:val="false"/>
                <w:iCs w:val="false"/>
                <w:sz w:val="20"/>
                <w:szCs w:val="20"/>
              </w:rPr>
              <w:t xml:space="preserve">Sangat Baik</w:t>
            </w:r>
          </w:p>
        </w:tc>
      </w:tr>
      <w:tr>
        <w:trPr>
          <w:tblHeader w:val="false"/>
        </w:trPr>
        <w:tc>
          <w:tcPr>
            <w:tcW w:type="dxa" w:w="640"/>
            <w:shd w:fill="F2F2F2" w:color="auto" w:val="clear"/>
            <w:tcMar>
              <w:top w:type="dxa" w:w="40"/>
              <w:left w:type="dxa" w:w="90"/>
              <w:bottom w:type="dxa" w:w="40"/>
              <w:right w:type="dxa" w:w="90"/>
            </w:tcMar>
          </w:tcPr>
          <w:p>
            <w:pPr>
              <w:spacing w:after="0" w:line="276"/>
              <w:jc w:val="center"/>
            </w:pPr>
            <w:r>
              <w:rPr>
                <w:rFonts w:ascii="Times New Roman" w:cs="Times New Roman" w:eastAsia="Times New Roman" w:hAnsi="Times New Roman"/>
                <w:b/>
                <w:bCs/>
                <w:i w:val="false"/>
                <w:iCs w:val="false"/>
                <w:sz w:val="20"/>
                <w:szCs w:val="20"/>
              </w:rPr>
              <w:t xml:space="preserve"/>
            </w:r>
          </w:p>
        </w:tc>
        <w:tc>
          <w:tcPr>
            <w:tcW w:type="dxa" w:w="4360"/>
            <w:shd w:fill="F2F2F2" w:color="auto" w:val="clear"/>
            <w:tcMar>
              <w:top w:type="dxa" w:w="40"/>
              <w:left w:type="dxa" w:w="90"/>
              <w:bottom w:type="dxa" w:w="40"/>
              <w:right w:type="dxa" w:w="90"/>
            </w:tcMar>
          </w:tcPr>
          <w:p>
            <w:pPr>
              <w:spacing w:after="0" w:line="276"/>
              <w:jc w:val="left"/>
            </w:pPr>
            <w:r>
              <w:rPr>
                <w:rFonts w:ascii="Times New Roman" w:cs="Times New Roman" w:eastAsia="Times New Roman" w:hAnsi="Times New Roman"/>
                <w:b/>
                <w:bCs/>
                <w:i w:val="false"/>
                <w:iCs w:val="false"/>
                <w:sz w:val="20"/>
                <w:szCs w:val="20"/>
              </w:rPr>
              <w:t xml:space="preserve">Rata-rata Keseluruhan</w:t>
            </w:r>
          </w:p>
        </w:tc>
        <w:tc>
          <w:tcPr>
            <w:tcW w:type="dxa" w:w="1200"/>
            <w:shd w:fill="F2F2F2" w:color="auto" w:val="clear"/>
            <w:tcMar>
              <w:top w:type="dxa" w:w="40"/>
              <w:left w:type="dxa" w:w="90"/>
              <w:bottom w:type="dxa" w:w="40"/>
              <w:right w:type="dxa" w:w="90"/>
            </w:tcMar>
          </w:tcPr>
          <w:p>
            <w:pPr>
              <w:spacing w:after="0" w:line="276"/>
              <w:jc w:val="center"/>
            </w:pPr>
            <w:r>
              <w:rPr>
                <w:rFonts w:ascii="Times New Roman" w:cs="Times New Roman" w:eastAsia="Times New Roman" w:hAnsi="Times New Roman"/>
                <w:b/>
                <w:bCs/>
                <w:i w:val="false"/>
                <w:iCs w:val="false"/>
                <w:sz w:val="20"/>
                <w:szCs w:val="20"/>
              </w:rPr>
              <w:t xml:space="preserve">4,78</w:t>
            </w:r>
          </w:p>
        </w:tc>
        <w:tc>
          <w:tcPr>
            <w:tcW w:type="dxa" w:w="1400"/>
            <w:shd w:fill="F2F2F2" w:color="auto" w:val="clear"/>
            <w:tcMar>
              <w:top w:type="dxa" w:w="40"/>
              <w:left w:type="dxa" w:w="90"/>
              <w:bottom w:type="dxa" w:w="40"/>
              <w:right w:type="dxa" w:w="90"/>
            </w:tcMar>
          </w:tcPr>
          <w:p>
            <w:pPr>
              <w:spacing w:after="0" w:line="276"/>
              <w:jc w:val="center"/>
            </w:pPr>
            <w:r>
              <w:rPr>
                <w:rFonts w:ascii="Times New Roman" w:cs="Times New Roman" w:eastAsia="Times New Roman" w:hAnsi="Times New Roman"/>
                <w:b/>
                <w:bCs/>
                <w:i w:val="false"/>
                <w:iCs w:val="false"/>
                <w:sz w:val="20"/>
                <w:szCs w:val="20"/>
              </w:rPr>
              <w:t xml:space="preserve">95,5%</w:t>
            </w:r>
          </w:p>
        </w:tc>
        <w:tc>
          <w:tcPr>
            <w:tcW w:type="dxa" w:w="1400"/>
            <w:shd w:fill="F2F2F2" w:color="auto" w:val="clear"/>
            <w:tcMar>
              <w:top w:type="dxa" w:w="40"/>
              <w:left w:type="dxa" w:w="90"/>
              <w:bottom w:type="dxa" w:w="40"/>
              <w:right w:type="dxa" w:w="90"/>
            </w:tcMar>
          </w:tcPr>
          <w:p>
            <w:pPr>
              <w:spacing w:after="0" w:line="276"/>
              <w:jc w:val="center"/>
            </w:pPr>
            <w:r>
              <w:rPr>
                <w:rFonts w:ascii="Times New Roman" w:cs="Times New Roman" w:eastAsia="Times New Roman" w:hAnsi="Times New Roman"/>
                <w:b/>
                <w:bCs/>
                <w:i w:val="false"/>
                <w:iCs w:val="false"/>
                <w:sz w:val="20"/>
                <w:szCs w:val="20"/>
              </w:rPr>
              <w:t xml:space="preserve">Sangat Baik</w:t>
            </w:r>
          </w:p>
        </w:tc>
      </w:tr>
    </w:tbl>
    <w:p>
      <w:pPr>
        <w:spacing w:after="80"/>
      </w:pPr>
      <w:r>
        <w:rPr>
          <w:rFonts w:ascii="Times New Roman" w:cs="Times New Roman" w:eastAsia="Times New Roman" w:hAnsi="Times New Roman"/>
          <w:b w:val="false"/>
          <w:bCs w:val="false"/>
          <w:i w:val="false"/>
          <w:iCs w:val="false"/>
          <w:sz w:val="24"/>
          <w:szCs w:val="24"/>
        </w:rPr>
        <w:t xml:space="preserve"/>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Berdasarkan Tabel 4.x, pengujian UAT memperoleh rata-rata keseluruhan sebesar 4,78 dari 5 atau setara 95,5%, sehingga secara umum aplikasi termasuk dalam kategori “Sangat Baik”. Enam pernyataan memperoleh nilai sempurna 100%, yaitu kemudahan login dan registrasi, kemudahan navigasi antarmuka, kejelasan informasi dan berita, kemudahan pengiriman laporan pengaduan, kesesuaian aplikasi dengan kebutuhan pengguna, serta kepuasan pengguna secara keseluruhan. Pernyataan dengan persentase terendah adalah kemudahan proses pembayaran iuran digital sebesar 80% (kategori “Baik”), sedangkan pernyataan lainnya seperti kelengkapan fitur (95%), penerimaan notifikasi SOS (90%), dan keandalan aplikasi (90%) berada pada kategori “Sangat Baik”.</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Ditinjau dari kategori pengguna, hasil pengujian menunjukkan sebaran yang relatif merata, yakni Penghuni sebesar 96%, Pengelola/Admin sebesar 96%, dan Petugas Keamanan (Satpam) sebesar 94%. Hal ini menunjukkan bahwa aplikasi Smart Residence dapat diterima dengan baik oleh seluruh kelompok pengguna tanpa perbedaan penerimaan yang signifikan.</w:t>
      </w:r>
    </w:p>
    <w:p>
      <w:pPr>
        <w:spacing w:after="120" w:line="360"/>
        <w:ind w:firstLine="720"/>
        <w:jc w:val="both"/>
      </w:pPr>
      <w:r>
        <w:rPr>
          <w:rFonts w:ascii="Times New Roman" w:cs="Times New Roman" w:eastAsia="Times New Roman" w:hAnsi="Times New Roman"/>
          <w:b/>
          <w:bCs/>
          <w:i w:val="false"/>
          <w:iCs w:val="false"/>
          <w:sz w:val="24"/>
          <w:szCs w:val="24"/>
        </w:rPr>
        <w:t xml:space="preserve">Catatan revisi: </w:t>
      </w:r>
      <w:r>
        <w:rPr>
          <w:rFonts w:ascii="Times New Roman" w:cs="Times New Roman" w:eastAsia="Times New Roman" w:hAnsi="Times New Roman"/>
          <w:b w:val="false"/>
          <w:bCs w:val="false"/>
          <w:i w:val="false"/>
          <w:iCs w:val="false"/>
          <w:sz w:val="24"/>
          <w:szCs w:val="24"/>
        </w:rPr>
        <w:t xml:space="preserve">nilai persentase pada subbab ini merupakan hasil perhitungan ulang berdasarkan data respons UAT yang sebenarnya, menggantikan angka pada naskah sebelumnya (kemudahan pembayaran iuran digital 90,6% dan kejelasan tampilan informasi 93,4%) yang tidak sesuai dengan data pengujian. Dengan revisi ini, seluruh angka yang disajikan telah konsisten dengan rekapitulasi jawaban responden pada Tabel 4.x.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2026-07-16T13:03:03.995Z</dcterms:created>
  <dcterms:modified xsi:type="dcterms:W3CDTF">2026-07-16T13:03:03.997Z</dcterms:modified>
</cp:coreProperties>
</file>

<file path=docProps/custom.xml><?xml version="1.0" encoding="utf-8"?>
<Properties xmlns="http://schemas.openxmlformats.org/officeDocument/2006/custom-properties" xmlns:vt="http://schemas.openxmlformats.org/officeDocument/2006/docPropsVTypes"/>
</file>