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A356B"/>
            <w:tcMar>
              <w:top w:w="280" w:type="dxa"/>
              <w:start w:w="360" w:type="dxa"/>
              <w:bottom w:w="260" w:type="dxa"/>
              <w:end w:w="360" w:type="dxa"/>
            </w:tcMar>
          </w:tcPr>
          <w:p>
            <w:pPr>
              <w:spacing w:after="240"/>
            </w:pPr>
            <w:r>
              <w:rPr>
                <w:rFonts w:ascii="Aptos" w:hAnsi="Aptos"/>
                <w:b/>
                <w:color w:val="C9D7F2"/>
                <w:sz w:val="21"/>
              </w:rPr>
              <w:t>NORTH AMERICAN ISMAILI GAMES 2027</w:t>
            </w:r>
          </w:p>
          <w:p>
            <w:pPr>
              <w:spacing w:after="140"/>
            </w:pPr>
            <w:r>
              <w:rPr>
                <w:rFonts w:ascii="Georgia" w:hAnsi="Georgia"/>
                <w:b/>
                <w:color w:val="FFFFFF"/>
                <w:sz w:val="62"/>
              </w:rPr>
              <w:t>Logistics Weekly Update</w:t>
            </w:r>
          </w:p>
          <w:p>
            <w:pPr>
              <w:spacing w:after="260"/>
            </w:pPr>
            <w:r>
              <w:rPr>
                <w:rFonts w:ascii="Aptos" w:hAnsi="Aptos"/>
                <w:b w:val="0"/>
                <w:color w:val="E1E9F8"/>
                <w:sz w:val="28"/>
              </w:rPr>
              <w:t>September 10 - September 16, 2026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52"/>
              <w:gridCol w:w="3552"/>
              <w:gridCol w:w="3552"/>
            </w:tblGrid>
            <w:tr>
              <w:tc>
                <w:tcPr>
                  <w:tcW w:type="dxa" w:w="3096"/>
                  <w:shd w:fill="3D5F9E"/>
                  <w:tcMar>
                    <w:top w:w="100" w:type="dxa"/>
                    <w:start w:w="130" w:type="dxa"/>
                    <w:bottom w:w="90" w:type="dxa"/>
                    <w:end w:w="130" w:type="dxa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FFFFFF"/>
                      <w:sz w:val="40"/>
                    </w:rPr>
                    <w:t>190</w:t>
                  </w:r>
                </w:p>
                <w:p>
                  <w:r>
                    <w:rPr>
                      <w:rFonts w:ascii="Aptos" w:hAnsi="Aptos"/>
                      <w:b/>
                      <w:color w:val="C9D7F2"/>
                      <w:sz w:val="17"/>
                    </w:rPr>
                    <w:t>DAYS TO GAMES</w:t>
                  </w:r>
                </w:p>
              </w:tc>
              <w:tc>
                <w:tcPr>
                  <w:tcW w:type="dxa" w:w="3096"/>
                  <w:shd w:fill="3D5F9E"/>
                  <w:tcMar>
                    <w:top w:w="100" w:type="dxa"/>
                    <w:start w:w="130" w:type="dxa"/>
                    <w:bottom w:w="90" w:type="dxa"/>
                    <w:end w:w="130" w:type="dxa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FFFFFF"/>
                      <w:sz w:val="40"/>
                    </w:rPr>
                    <w:t>2</w:t>
                  </w:r>
                </w:p>
                <w:p>
                  <w:r>
                    <w:rPr>
                      <w:rFonts w:ascii="Aptos" w:hAnsi="Aptos"/>
                      <w:b/>
                      <w:color w:val="C9D7F2"/>
                      <w:sz w:val="17"/>
                    </w:rPr>
                    <w:t>VENUES CONTRACTED</w:t>
                  </w:r>
                </w:p>
              </w:tc>
              <w:tc>
                <w:tcPr>
                  <w:tcW w:type="dxa" w:w="3096"/>
                  <w:shd w:fill="3D5F9E"/>
                  <w:tcMar>
                    <w:top w:w="100" w:type="dxa"/>
                    <w:start w:w="130" w:type="dxa"/>
                    <w:bottom w:w="90" w:type="dxa"/>
                    <w:end w:w="130" w:type="dxa"/>
                  </w:tcMar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Aptos" w:hAnsi="Aptos"/>
                      <w:b/>
                      <w:color w:val="FFFFFF"/>
                      <w:sz w:val="40"/>
                    </w:rPr>
                    <w:t>10 / 102</w:t>
                  </w:r>
                </w:p>
                <w:p>
                  <w:r>
                    <w:rPr>
                      <w:rFonts w:ascii="Aptos" w:hAnsi="Aptos"/>
                      <w:b/>
                      <w:color w:val="C9D7F2"/>
                      <w:sz w:val="17"/>
                    </w:rPr>
                    <w:t>MILESTONES CLOSED</w:t>
                  </w:r>
                </w:p>
              </w:tc>
            </w:tr>
          </w:tbl>
          <w:p/>
        </w:tc>
      </w:tr>
    </w:tbl>
    <w:p>
      <w:pPr>
        <w:spacing w:after="80"/>
        <w:jc w:val="right"/>
      </w:pPr>
      <w:r>
        <w:rPr>
          <w:rFonts w:ascii="Aptos" w:hAnsi="Aptos"/>
          <w:b w:val="0"/>
          <w:color w:val="66738D"/>
          <w:sz w:val="15"/>
        </w:rPr>
        <w:t>Leadership release | Prepared September 16, 2026</w:t>
      </w:r>
    </w:p>
    <w:p>
      <w:pPr>
        <w:keepNext/>
        <w:spacing w:before="140" w:after="60"/>
        <w:pBdr>
          <w:bottom w:val="single" w:sz="8" w:space="4" w:color="B72035"/>
        </w:pBdr>
      </w:pPr>
      <w:r>
        <w:rPr>
          <w:rFonts w:ascii="Aptos Display" w:hAnsi="Aptos Display"/>
          <w:b/>
          <w:color w:val="1A356B"/>
          <w:sz w:val="30"/>
        </w:rPr>
        <w:t>Key Progress This Period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8"/>
        </w:rPr>
        <w:t>The Farmers Branch/Northlake agreement is now countersigned. The $11,500 deposit received internal approval and payment instructions were submitted; settlement confirmation remains open.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8"/>
        </w:rPr>
        <w:t>UTA received the venue-needs proposal and tentatively identified soccer, cricket, track, flag football, basketball, dance/auditorium and chess capacity. Tennis is unavailable; final availability and pricing remain pending.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8"/>
        </w:rPr>
        <w:t>Lewisville offered September 22 and 23 planning windows. Rizwan selected September 22 from 1:00 to 2:30 PM, subject to final confirmation.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8"/>
        </w:rPr>
        <w:t>Leadership aligned on a working F&amp;B assumption of $60 per person per day, Thursday through Sunday, covering athletes and volunteers.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8"/>
        </w:rPr>
        <w:t>September onsite planning advanced with Northlake and UTA as the current site visits; additional facility photos and videos are still needed.</w:t>
      </w:r>
    </w:p>
    <w:p>
      <w:r>
        <w:br w:type="page"/>
      </w:r>
    </w:p>
    <w:p>
      <w:pPr>
        <w:keepNext/>
        <w:spacing w:before="140" w:after="60"/>
        <w:pBdr>
          <w:bottom w:val="single" w:sz="8" w:space="4" w:color="B72035"/>
        </w:pBdr>
      </w:pPr>
      <w:r>
        <w:rPr>
          <w:rFonts w:ascii="Aptos Display" w:hAnsi="Aptos Display"/>
          <w:b/>
          <w:color w:val="1A356B"/>
          <w:sz w:val="30"/>
        </w:rPr>
        <w:t>Venue and Operations Update</w:t>
      </w:r>
    </w:p>
    <w:p>
      <w:pPr>
        <w:keepNext/>
        <w:spacing w:before="80" w:after="60"/>
      </w:pPr>
      <w:r>
        <w:rPr>
          <w:rFonts w:ascii="Aptos Display" w:hAnsi="Aptos Display"/>
          <w:b/>
          <w:color w:val="3D5F9E"/>
          <w:sz w:val="22"/>
        </w:rPr>
        <w:t>Farmers Branch / Northlake and StarCenter</w:t>
      </w:r>
    </w:p>
    <w:p>
      <w:pPr>
        <w:spacing w:after="40"/>
      </w:pPr>
      <w:r>
        <w:rPr>
          <w:rFonts w:ascii="Aptos" w:hAnsi="Aptos"/>
          <w:b/>
          <w:color w:val="1A356B"/>
          <w:sz w:val="18"/>
        </w:rPr>
        <w:t xml:space="preserve">Status: </w:t>
      </w:r>
      <w:r>
        <w:rPr>
          <w:rFonts w:ascii="Aptos" w:hAnsi="Aptos"/>
          <w:b w:val="0"/>
          <w:color w:val="25314A"/>
          <w:sz w:val="18"/>
        </w:rPr>
        <w:t>Contracted; payment confirmation open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The DSE agreement has been countersigned.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The contractual deposit is $11,500, and internal site-payment approval is complete.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Payment instructions were submitted through the JMC process; confirmation that the ACH settled has not been received.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Northlake is planned for the September onsite visit, tentatively at 4:00 PM on September 26.</w:t>
      </w:r>
    </w:p>
    <w:p>
      <w:pPr>
        <w:keepNext/>
        <w:spacing w:before="80" w:after="60"/>
      </w:pPr>
      <w:r>
        <w:rPr>
          <w:rFonts w:ascii="Aptos Display" w:hAnsi="Aptos Display"/>
          <w:b/>
          <w:color w:val="3D5F9E"/>
          <w:sz w:val="22"/>
        </w:rPr>
        <w:t>UTA and Outdoor Fields</w:t>
      </w:r>
    </w:p>
    <w:p>
      <w:pPr>
        <w:spacing w:after="40"/>
      </w:pPr>
      <w:r>
        <w:rPr>
          <w:rFonts w:ascii="Aptos" w:hAnsi="Aptos"/>
          <w:b/>
          <w:color w:val="1A356B"/>
          <w:sz w:val="18"/>
        </w:rPr>
        <w:t xml:space="preserve">Status: </w:t>
      </w:r>
      <w:r>
        <w:rPr>
          <w:rFonts w:ascii="Aptos" w:hAnsi="Aptos"/>
          <w:b w:val="0"/>
          <w:color w:val="25314A"/>
          <w:sz w:val="18"/>
        </w:rPr>
        <w:t>Promising multi-sport option; commercial details open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UTA is tentatively evaluating 3 soccer fields, 1 cricket field, 1 track, 1 full-size field convertible to flag football or 7v7 soccer, 2 baseball fields as backup configurations, 4 basketball courts, an auditorium and a multipurpose chess room.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Tentative operating window is Thursday for setup and Friday through Sunday for competition.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UTA tennis is unavailable. Exact capacity, pricing, parking impact and contracting terms remain pending.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The UTA onsite-visit time and final availability matrix still need confirmation.</w:t>
      </w:r>
    </w:p>
    <w:p>
      <w:pPr>
        <w:keepNext/>
        <w:spacing w:before="80" w:after="60"/>
      </w:pPr>
      <w:r>
        <w:rPr>
          <w:rFonts w:ascii="Aptos Display" w:hAnsi="Aptos Display"/>
          <w:b/>
          <w:color w:val="3D5F9E"/>
          <w:sz w:val="22"/>
        </w:rPr>
        <w:t>Cricket</w:t>
      </w:r>
    </w:p>
    <w:p>
      <w:pPr>
        <w:spacing w:after="40"/>
      </w:pPr>
      <w:r>
        <w:rPr>
          <w:rFonts w:ascii="Aptos" w:hAnsi="Aptos"/>
          <w:b/>
          <w:color w:val="1A356B"/>
          <w:sz w:val="18"/>
        </w:rPr>
        <w:t xml:space="preserve">Status: </w:t>
      </w:r>
      <w:r>
        <w:rPr>
          <w:rFonts w:ascii="Aptos" w:hAnsi="Aptos"/>
          <w:b w:val="0"/>
          <w:color w:val="25314A"/>
          <w:sz w:val="18"/>
        </w:rPr>
        <w:t>Final site model and contract remain open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The current sports assumption requires 5 fields for 22 teams: 14 men’s and 8 women’s teams.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McKinney reported 2 cricket fields available March 25-28. Grand Prairie Stadium is available March 25-27 but not March 28.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Oklahoma City remains an evaluated direction, and UTA may provide 1 additional cricket field.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Kiran was asked to follow up with Abid on the cricket contract. Final field mix, women’s location, pricing and operating plan remain unresolved.</w:t>
      </w:r>
    </w:p>
    <w:p>
      <w:pPr>
        <w:keepNext/>
        <w:spacing w:before="80" w:after="60"/>
      </w:pPr>
      <w:r>
        <w:rPr>
          <w:rFonts w:ascii="Aptos Display" w:hAnsi="Aptos Display"/>
          <w:b/>
          <w:color w:val="3D5F9E"/>
          <w:sz w:val="22"/>
        </w:rPr>
        <w:t>Indoor Sports, Tennis and Pickleball</w:t>
      </w:r>
    </w:p>
    <w:p>
      <w:pPr>
        <w:spacing w:after="40"/>
      </w:pPr>
      <w:r>
        <w:rPr>
          <w:rFonts w:ascii="Aptos" w:hAnsi="Aptos"/>
          <w:b/>
          <w:color w:val="1A356B"/>
          <w:sz w:val="18"/>
        </w:rPr>
        <w:t xml:space="preserve">Status: </w:t>
      </w:r>
      <w:r>
        <w:rPr>
          <w:rFonts w:ascii="Aptos" w:hAnsi="Aptos"/>
          <w:b w:val="0"/>
          <w:color w:val="25314A"/>
          <w:sz w:val="18"/>
        </w:rPr>
        <w:t>Recommendation and cost validation required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Badminton and table tennis are leaning toward Northlake/Farmers Branch with third-party operators managing setup, subject to a final Logistics and Sports recommendation.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Pickler Universe remains a likely pickleball option, but the approximately $52,000 discussion requires an itemized invoice, final court count and confirmation of security and porter costs.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Dance-stage capacity and chess-room dimensions at Pickler remain open.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Courts of McKinney cannot supply all requested tennis courts for the full schedule, and UTA tennis is unavailable. The final tennis combination remains at risk.</w:t>
      </w:r>
    </w:p>
    <w:p>
      <w:pPr>
        <w:keepNext/>
        <w:spacing w:before="80" w:after="60"/>
      </w:pPr>
      <w:r>
        <w:rPr>
          <w:rFonts w:ascii="Aptos Display" w:hAnsi="Aptos Display"/>
          <w:b/>
          <w:color w:val="3D5F9E"/>
          <w:sz w:val="22"/>
        </w:rPr>
        <w:t>Hotels, F&amp;B and Transportation</w:t>
      </w:r>
    </w:p>
    <w:p>
      <w:pPr>
        <w:spacing w:after="40"/>
      </w:pPr>
      <w:r>
        <w:rPr>
          <w:rFonts w:ascii="Aptos" w:hAnsi="Aptos"/>
          <w:b/>
          <w:color w:val="1A356B"/>
          <w:sz w:val="18"/>
        </w:rPr>
        <w:t xml:space="preserve">Status: </w:t>
      </w:r>
      <w:r>
        <w:rPr>
          <w:rFonts w:ascii="Aptos" w:hAnsi="Aptos"/>
          <w:b w:val="0"/>
          <w:color w:val="25314A"/>
          <w:sz w:val="18"/>
        </w:rPr>
        <w:t>Planning active; baseline decisions still needed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The working F&amp;B budget is $60 per person per day for athletes and volunteers, including breakfast, lunch, dinner, snacks, hydration and service supplies.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The hotel lead is ready to review options. Hotel contracts and the designated hotel webpage are both due October 1 in the PMO plan.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Transportation planning assumes airport-to-registration/hotel loops, hotel-to-major-venue service and secondary links to smaller venues.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Final athlete counts and venue assignments are required before hotel, meal and shuttle volumes can be validated.</w:t>
      </w:r>
    </w:p>
    <w:p>
      <w:r>
        <w:br w:type="page"/>
      </w:r>
    </w:p>
    <w:p>
      <w:pPr>
        <w:keepNext/>
        <w:spacing w:before="140" w:after="60"/>
        <w:pBdr>
          <w:bottom w:val="single" w:sz="8" w:space="4" w:color="B72035"/>
        </w:pBdr>
      </w:pPr>
      <w:r>
        <w:rPr>
          <w:rFonts w:ascii="Aptos Display" w:hAnsi="Aptos Display"/>
          <w:b/>
          <w:color w:val="1A356B"/>
          <w:sz w:val="30"/>
        </w:rPr>
        <w:t>Decisions Needed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9EC"/>
            <w:tcMar>
              <w:top w:w="100" w:type="dxa"/>
              <w:start w:w="170" w:type="dxa"/>
              <w:bottom w:w="90" w:type="dxa"/>
              <w:end w:w="170" w:type="dxa"/>
            </w:tcMar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5314A"/>
                <w:sz w:val="17"/>
              </w:rPr>
              <w:t>Confirm that the $11,500 Farmers Branch/Northlake payment has settled.</w:t>
            </w:r>
          </w:p>
          <w:p>
            <w:pPr>
              <w:pStyle w:val="ListBullet"/>
              <w:spacing w:after="20"/>
            </w:pPr>
            <w:r>
              <w:rPr>
                <w:rFonts w:ascii="Aptos" w:hAnsi="Aptos"/>
                <w:b w:val="0"/>
                <w:color w:val="25314A"/>
                <w:sz w:val="17"/>
              </w:rPr>
              <w:t>Approve which UTA facilities should advance to pricing and contracting.</w:t>
            </w:r>
          </w:p>
          <w:p>
            <w:pPr>
              <w:pStyle w:val="ListBullet"/>
              <w:spacing w:after="20"/>
            </w:pPr>
            <w:r>
              <w:rPr>
                <w:rFonts w:ascii="Aptos" w:hAnsi="Aptos"/>
                <w:b w:val="0"/>
                <w:color w:val="25314A"/>
                <w:sz w:val="17"/>
              </w:rPr>
              <w:t>Finalize the badminton and table-tennis venue/third-party operating model.</w:t>
            </w:r>
          </w:p>
          <w:p>
            <w:pPr>
              <w:pStyle w:val="ListBullet"/>
              <w:spacing w:after="20"/>
            </w:pPr>
            <w:r>
              <w:rPr>
                <w:rFonts w:ascii="Aptos" w:hAnsi="Aptos"/>
                <w:b w:val="0"/>
                <w:color w:val="25314A"/>
                <w:sz w:val="17"/>
              </w:rPr>
              <w:t>Select the final tennis and pickleball combination and establish a decision deadline.</w:t>
            </w:r>
          </w:p>
          <w:p>
            <w:pPr>
              <w:pStyle w:val="ListBullet"/>
              <w:spacing w:after="20"/>
            </w:pPr>
            <w:r>
              <w:rPr>
                <w:rFonts w:ascii="Aptos" w:hAnsi="Aptos"/>
                <w:b w:val="0"/>
                <w:color w:val="25314A"/>
                <w:sz w:val="17"/>
              </w:rPr>
              <w:t>Confirm the final cricket field mix, women’s location and March 28 coverage.</w:t>
            </w:r>
          </w:p>
          <w:p>
            <w:pPr>
              <w:pStyle w:val="ListBullet"/>
              <w:spacing w:after="20"/>
            </w:pPr>
            <w:r>
              <w:rPr>
                <w:rFonts w:ascii="Aptos" w:hAnsi="Aptos"/>
                <w:b w:val="0"/>
                <w:color w:val="25314A"/>
                <w:sz w:val="17"/>
              </w:rPr>
              <w:t>Select the Sunday outdoor-field replacement and weather-contingency facilities.</w:t>
            </w:r>
          </w:p>
          <w:p>
            <w:pPr>
              <w:pStyle w:val="ListBullet"/>
              <w:spacing w:after="20"/>
            </w:pPr>
            <w:r>
              <w:rPr>
                <w:rFonts w:ascii="Aptos" w:hAnsi="Aptos"/>
                <w:b w:val="0"/>
                <w:color w:val="25314A"/>
                <w:sz w:val="17"/>
              </w:rPr>
              <w:t>Confirm whether spectator meals and shuttle service are within Logistics scope.</w:t>
            </w:r>
          </w:p>
        </w:tc>
      </w:tr>
    </w:tbl>
    <w:p>
      <w:pPr>
        <w:keepNext/>
        <w:spacing w:before="140" w:after="60"/>
        <w:pBdr>
          <w:bottom w:val="single" w:sz="8" w:space="4" w:color="B72035"/>
        </w:pBdr>
      </w:pPr>
      <w:r>
        <w:rPr>
          <w:rFonts w:ascii="Aptos Display" w:hAnsi="Aptos Display"/>
          <w:b/>
          <w:color w:val="1A356B"/>
          <w:sz w:val="30"/>
        </w:rPr>
        <w:t>Cross-Vertical Dependencies</w:t>
      </w:r>
    </w:p>
    <w:p>
      <w:pPr>
        <w:pStyle w:val="ListBullet"/>
        <w:spacing w:after="30" w:line="247" w:lineRule="auto"/>
      </w:pPr>
      <w:r>
        <w:rPr>
          <w:rFonts w:ascii="Aptos" w:hAnsi="Aptos"/>
          <w:b/>
          <w:color w:val="1A356B"/>
          <w:sz w:val="17"/>
        </w:rPr>
        <w:t>Legal:</w:t>
      </w:r>
      <w:r>
        <w:rPr>
          <w:rFonts w:ascii="Aptos" w:hAnsi="Aptos"/>
          <w:b w:val="0"/>
          <w:color w:val="25314A"/>
          <w:sz w:val="17"/>
        </w:rPr>
        <w:t xml:space="preserve"> Venue Contracts Executed remains due October 15, 2026; the PMO plan does not name an owner.</w:t>
      </w:r>
    </w:p>
    <w:p>
      <w:pPr>
        <w:pStyle w:val="ListBullet"/>
        <w:spacing w:after="30" w:line="247" w:lineRule="auto"/>
      </w:pPr>
      <w:r>
        <w:rPr>
          <w:rFonts w:ascii="Aptos" w:hAnsi="Aptos"/>
          <w:b/>
          <w:color w:val="1A356B"/>
          <w:sz w:val="17"/>
        </w:rPr>
        <w:t>Finance:</w:t>
      </w:r>
      <w:r>
        <w:rPr>
          <w:rFonts w:ascii="Aptos" w:hAnsi="Aptos"/>
          <w:b w:val="0"/>
          <w:color w:val="25314A"/>
          <w:sz w:val="17"/>
        </w:rPr>
        <w:t xml:space="preserve"> Final budget approval and the payment/reimbursement process were due September 6. Finance requested a soft-budget review with Logistics.</w:t>
      </w:r>
    </w:p>
    <w:p>
      <w:pPr>
        <w:pStyle w:val="ListBullet"/>
        <w:spacing w:after="30" w:line="247" w:lineRule="auto"/>
      </w:pPr>
      <w:r>
        <w:rPr>
          <w:rFonts w:ascii="Aptos" w:hAnsi="Aptos"/>
          <w:b/>
          <w:color w:val="1A356B"/>
          <w:sz w:val="17"/>
        </w:rPr>
        <w:t>Sports:</w:t>
      </w:r>
      <w:r>
        <w:rPr>
          <w:rFonts w:ascii="Aptos" w:hAnsi="Aptos"/>
          <w:b w:val="0"/>
          <w:color w:val="25314A"/>
          <w:sz w:val="17"/>
        </w:rPr>
        <w:t xml:space="preserve"> Final athlete counts, sport schedules and court/field requirements are needed to size venues, hotels, meals and transportation.</w:t>
      </w:r>
    </w:p>
    <w:p>
      <w:pPr>
        <w:pStyle w:val="ListBullet"/>
        <w:spacing w:after="30" w:line="247" w:lineRule="auto"/>
      </w:pPr>
      <w:r>
        <w:rPr>
          <w:rFonts w:ascii="Aptos" w:hAnsi="Aptos"/>
          <w:b/>
          <w:color w:val="1A356B"/>
          <w:sz w:val="17"/>
        </w:rPr>
        <w:t>Human Resources:</w:t>
      </w:r>
      <w:r>
        <w:rPr>
          <w:rFonts w:ascii="Aptos" w:hAnsi="Aptos"/>
          <w:b w:val="0"/>
          <w:color w:val="25314A"/>
          <w:sz w:val="17"/>
        </w:rPr>
        <w:t xml:space="preserve"> The central directory lists only Rizwan and Azmina under Logistics, and the Sub-Team Directory has no Logistics roster entries.</w:t>
      </w:r>
    </w:p>
    <w:p>
      <w:pPr>
        <w:pStyle w:val="ListBullet"/>
        <w:spacing w:after="30" w:line="247" w:lineRule="auto"/>
      </w:pPr>
      <w:r>
        <w:rPr>
          <w:rFonts w:ascii="Aptos" w:hAnsi="Aptos"/>
          <w:b/>
          <w:color w:val="1A356B"/>
          <w:sz w:val="17"/>
        </w:rPr>
        <w:t>PMO:</w:t>
      </w:r>
      <w:r>
        <w:rPr>
          <w:rFonts w:ascii="Aptos" w:hAnsi="Aptos"/>
          <w:b w:val="0"/>
          <w:color w:val="25314A"/>
          <w:sz w:val="17"/>
        </w:rPr>
        <w:t xml:space="preserve"> The master tracker shows all 15 Logistics items as Not Started and assigns every item to Rizwan, despite active work across the PMO team.</w:t>
      </w:r>
    </w:p>
    <w:p>
      <w:pPr>
        <w:keepNext/>
        <w:spacing w:before="140" w:after="60"/>
        <w:pBdr>
          <w:bottom w:val="single" w:sz="8" w:space="4" w:color="B72035"/>
        </w:pBdr>
      </w:pPr>
      <w:r>
        <w:rPr>
          <w:rFonts w:ascii="Aptos Display" w:hAnsi="Aptos Display"/>
          <w:b/>
          <w:color w:val="1A356B"/>
          <w:sz w:val="30"/>
        </w:rPr>
        <w:t>Actions: Upcoming Week Plan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Obtain UTA’s final availability matrix, pricing, parking constraints and onsite-visit time.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Confirm the September 22 Lewisville meeting and issue the calendar invitation.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Obtain written confirmation that the StarCenter ACH settled and file the countersigned agreement.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Complete the cricket contract follow-up and publish the recommended field/site scenario.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Finalize the badminton, table-tennis, tennis and pickleball recommendations with Sports.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Schedule the hotel-options review and protect the October 1 hotel-contract/page milestones.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Prepare Logistics soft-budget assumptions for Finance.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Collect photos/videos for facilities not visited during the September onsite.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Update the PMO tracker with actual statuses, owners and cross-functional dependencies.</w:t>
      </w:r>
    </w:p>
    <w:p>
      <w:pPr>
        <w:pStyle w:val="ListBullet"/>
        <w:spacing w:after="30" w:line="247" w:lineRule="auto"/>
      </w:pPr>
      <w:r>
        <w:rPr>
          <w:rFonts w:ascii="Aptos" w:hAnsi="Aptos"/>
          <w:b w:val="0"/>
          <w:color w:val="25314A"/>
          <w:sz w:val="17"/>
        </w:rPr>
        <w:t>Add confirmed Logistics personnel and staffing needs to the central HR directories.</w:t>
      </w:r>
    </w:p>
    <w:p>
      <w:pPr>
        <w:keepNext/>
        <w:spacing w:before="140" w:after="60"/>
        <w:pBdr>
          <w:bottom w:val="single" w:sz="8" w:space="4" w:color="B72035"/>
        </w:pBdr>
      </w:pPr>
      <w:r>
        <w:rPr>
          <w:rFonts w:ascii="Aptos Display" w:hAnsi="Aptos Display"/>
          <w:b/>
          <w:color w:val="1A356B"/>
          <w:sz w:val="30"/>
        </w:rPr>
        <w:t>Upcoming Coordination</w:t>
      </w:r>
    </w:p>
    <w:p>
      <w:pPr>
        <w:pStyle w:val="ListBullet"/>
        <w:spacing w:after="30" w:line="247" w:lineRule="auto"/>
      </w:pPr>
      <w:r>
        <w:rPr>
          <w:rFonts w:ascii="Aptos" w:hAnsi="Aptos"/>
          <w:b/>
          <w:color w:val="1A356B"/>
          <w:sz w:val="17"/>
        </w:rPr>
        <w:t>Lewisville planning discussion:</w:t>
      </w:r>
      <w:r>
        <w:rPr>
          <w:rFonts w:ascii="Aptos" w:hAnsi="Aptos"/>
          <w:b w:val="0"/>
          <w:color w:val="25314A"/>
          <w:sz w:val="17"/>
        </w:rPr>
        <w:t xml:space="preserve"> September 22, 2026, 1:00-2:30 PM, pending final confirmation</w:t>
      </w:r>
    </w:p>
    <w:p>
      <w:pPr>
        <w:pStyle w:val="ListBullet"/>
        <w:spacing w:after="30" w:line="247" w:lineRule="auto"/>
      </w:pPr>
      <w:r>
        <w:rPr>
          <w:rFonts w:ascii="Aptos" w:hAnsi="Aptos"/>
          <w:b/>
          <w:color w:val="1A356B"/>
          <w:sz w:val="17"/>
        </w:rPr>
        <w:t>National leadership onsite:</w:t>
      </w:r>
      <w:r>
        <w:rPr>
          <w:rFonts w:ascii="Aptos" w:hAnsi="Aptos"/>
          <w:b w:val="0"/>
          <w:color w:val="25314A"/>
          <w:sz w:val="17"/>
        </w:rPr>
        <w:t xml:space="preserve"> September 25-27, 2026</w:t>
      </w:r>
    </w:p>
    <w:p>
      <w:pPr>
        <w:pStyle w:val="ListBullet"/>
        <w:spacing w:after="30" w:line="247" w:lineRule="auto"/>
      </w:pPr>
      <w:r>
        <w:rPr>
          <w:rFonts w:ascii="Aptos" w:hAnsi="Aptos"/>
          <w:b/>
          <w:color w:val="1A356B"/>
          <w:sz w:val="17"/>
        </w:rPr>
        <w:t>Weekly Site Management meeting:</w:t>
      </w:r>
      <w:r>
        <w:rPr>
          <w:rFonts w:ascii="Aptos" w:hAnsi="Aptos"/>
          <w:b w:val="0"/>
          <w:color w:val="25314A"/>
          <w:sz w:val="17"/>
        </w:rPr>
        <w:t xml:space="preserve"> Thursdays, 9:00-9:45 PM CDT</w:t>
      </w:r>
    </w:p>
    <w:p>
      <w:pPr>
        <w:pStyle w:val="ListBullet"/>
        <w:spacing w:after="30" w:line="247" w:lineRule="auto"/>
      </w:pPr>
      <w:r>
        <w:rPr>
          <w:rFonts w:ascii="Aptos" w:hAnsi="Aptos"/>
          <w:b/>
          <w:color w:val="1A356B"/>
          <w:sz w:val="17"/>
        </w:rPr>
        <w:t>In-person Logistics meeting:</w:t>
      </w:r>
      <w:r>
        <w:rPr>
          <w:rFonts w:ascii="Aptos" w:hAnsi="Aptos"/>
          <w:b w:val="0"/>
          <w:color w:val="25314A"/>
          <w:sz w:val="17"/>
        </w:rPr>
        <w:t xml:space="preserve"> October 24-25, 2026; arrivals October 23</w:t>
      </w:r>
    </w:p>
    <w:sectPr w:rsidR="00FC693F" w:rsidRPr="0006063C" w:rsidSect="00034616">
      <w:pgSz w:w="12240" w:h="15840"/>
      <w:pgMar w:top="605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88" w:hanging="173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NAIG 2027 Logistics Weekly Update - September 16, 2026</dc:title>
  <dc:subject/>
  <dc:creator>Azmina Hashim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