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6"/>
          <w:szCs w:val="36"/>
        </w:rPr>
        <w:t xml:space="preserve">Compliance Gap Assessment</w:t>
      </w:r>
    </w:p>
    <w:p>
      <w:pPr>
        <w:pBdr>
          <w:bottom w:val="single" w:color="1F4E79" w:sz="8" w:space="4"/>
        </w:pBdr>
        <w:spacing w:after="160"/>
      </w:pPr>
      <w:r>
        <w:rPr>
          <w:rFonts w:ascii="Arial" w:cs="Arial" w:eastAsia="Arial" w:hAnsi="Arial"/>
          <w:color w:val="808080"/>
          <w:sz w:val="20"/>
          <w:szCs w:val="20"/>
        </w:rPr>
        <w:t xml:space="preserve">FERPA, GLBA, PCI-DSS, HIPAA, or NIST 800-171</w:t>
      </w:r>
    </w:p>
    <w:p>
      <w:pPr>
        <w:shd w:fill="FBF3D5" w:val="clear"/>
        <w:spacing w:after="160" w:before="120"/>
      </w:pPr>
      <w:r>
        <w:rPr>
          <w:b/>
          <w:bCs/>
          <w:i/>
          <w:iCs/>
          <w:sz w:val="18"/>
          <w:szCs w:val="18"/>
        </w:rPr>
        <w:t xml:space="preserve">How to use: </w:t>
      </w:r>
      <w:r>
        <w:rPr>
          <w:i/>
          <w:iCs/>
          <w:sz w:val="18"/>
          <w:szCs w:val="18"/>
        </w:rPr>
        <w:t xml:space="preserve">Compare current practice to a regulation or standard, mark each requirement met, partially met, or not met, and turn every gap into an owned, dated remediation. Name the regulation in scope at the top. This maps to NIST SP 800-53A assessment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Regulation / standard</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Scope (systems / offices)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Assessor</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Date (UTC)</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Click and type...</w:t>
            </w:r>
          </w:p>
        </w:tc>
      </w:tr>
      <w:tr>
        <w:tc>
          <w:tcPr>
            <w:tcW w:type="dxa" w:w="27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b/>
                <w:bCs/>
                <w:sz w:val="20"/>
                <w:szCs w:val="20"/>
              </w:rPr>
              <w:t xml:space="preserve">Overall status</w:t>
            </w:r>
          </w:p>
        </w:tc>
        <w:tc>
          <w:tcPr>
            <w:tcW w:type="dxa" w:w="6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Compliant / Partial / Non-compliant</w:t>
            </w:r>
          </w:p>
        </w:tc>
      </w:tr>
    </w:tbl>
    <w:p>
      <w:pPr>
        <w:spacing w:after="100" w:before="220"/>
      </w:pPr>
      <w:r>
        <w:rPr>
          <w:rFonts w:ascii="Arial" w:cs="Arial" w:eastAsia="Arial" w:hAnsi="Arial"/>
          <w:b/>
          <w:bCs/>
          <w:color w:val="1F4E79"/>
          <w:sz w:val="24"/>
          <w:szCs w:val="24"/>
        </w:rPr>
        <w:t xml:space="preserve">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i/>
                <w:iCs/>
                <w:color w:val="808080"/>
                <w:sz w:val="20"/>
                <w:szCs w:val="20"/>
              </w:rPr>
              <w:t xml:space="preserve">The regulation in scope, the systems and offices it covers, and the requirements assessed.</w:t>
            </w:r>
          </w:p>
          <w:p>
            <w:r>
              <w:rPr>
                <w:sz w:val="20"/>
                <w:szCs w:val="20"/>
              </w:rPr>
              <w:t xml:space="preserve"/>
            </w:r>
          </w:p>
          <w:p>
            <w:r>
              <w:rPr>
                <w:sz w:val="20"/>
                <w:szCs w:val="20"/>
              </w:rPr>
              <w:t xml:space="preserve"/>
            </w:r>
          </w:p>
          <w:p>
            <w:r>
              <w:rPr>
                <w:sz w:val="20"/>
                <w:szCs w:val="20"/>
              </w:rPr>
              <w:t xml:space="preserve"/>
            </w:r>
          </w:p>
        </w:tc>
      </w:tr>
    </w:tbl>
    <w:p>
      <w:pPr>
        <w:spacing w:after="100" w:before="220"/>
      </w:pPr>
      <w:r>
        <w:rPr>
          <w:rFonts w:ascii="Arial" w:cs="Arial" w:eastAsia="Arial" w:hAnsi="Arial"/>
          <w:b/>
          <w:bCs/>
          <w:color w:val="1F4E79"/>
          <w:sz w:val="24"/>
          <w:szCs w:val="24"/>
        </w:rPr>
        <w:t xml:space="preserve">2. Requirements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300"/>
        <w:gridCol w:w="28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Requirement</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Status</w:t>
            </w:r>
          </w:p>
        </w:tc>
        <w:tc>
          <w:tcPr>
            <w:tcW w:type="dxa" w:w="2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Evidence</w:t>
            </w:r>
          </w:p>
        </w:tc>
        <w:tc>
          <w:tcPr>
            <w:tcW w:type="dxa" w:w="28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Gap</w:t>
            </w:r>
          </w:p>
        </w:tc>
      </w:tr>
      <w:t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Encryption of covered data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Not met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w:t>
            </w:r>
          </w:p>
        </w:tc>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Data stored in clear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3FB" w:val="clear"/>
            <w:tcMar>
              <w:top w:type="dxa" w:w="100"/>
              <w:left w:type="dxa" w:w="120"/>
              <w:bottom w:type="dxa" w:w="100"/>
              <w:right w:type="dxa" w:w="120"/>
            </w:tcMar>
          </w:tcPr>
          <w:p>
            <w:r>
              <w:rPr>
                <w:b/>
                <w:bCs/>
                <w:color w:val="1F4E79"/>
                <w:sz w:val="20"/>
                <w:szCs w:val="20"/>
              </w:rPr>
              <w:t xml:space="preserve">Paste a screenshot here.</w:t>
            </w:r>
          </w:p>
          <w:p>
            <w:r>
              <w:rPr>
                <w:i/>
                <w:iCs/>
                <w:color w:val="808080"/>
                <w:sz w:val="18"/>
                <w:szCs w:val="18"/>
              </w:rPr>
              <w:t xml:space="preserve">Evidence supporting a status, for example a configuration screen or a policy excerpt.</w:t>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p>
            <w:r>
              <w:rPr>
                <w:sz w:val="20"/>
                <w:szCs w:val="20"/>
              </w:rPr>
              <w:t xml:space="preserve"/>
            </w:r>
          </w:p>
        </w:tc>
      </w:tr>
    </w:tbl>
    <w:p>
      <w:pPr>
        <w:spacing w:after="100" w:before="220"/>
      </w:pPr>
      <w:r>
        <w:rPr>
          <w:rFonts w:ascii="Arial" w:cs="Arial" w:eastAsia="Arial" w:hAnsi="Arial"/>
          <w:b/>
          <w:bCs/>
          <w:color w:val="1F4E79"/>
          <w:sz w:val="24"/>
          <w:szCs w:val="24"/>
        </w:rPr>
        <w:t xml:space="preserve">3. Gaps and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00"/>
        <w:gridCol w:w="2400"/>
        <w:gridCol w:w="1700"/>
        <w:gridCol w:w="1500"/>
      </w:tblGrid>
      <w:tr>
        <w:trPr>
          <w:tblHeader/>
        </w:trPr>
        <w:tc>
          <w:tcPr>
            <w:tcW w:type="dxa" w:w="24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Gap</w:t>
            </w:r>
          </w:p>
        </w:tc>
        <w:tc>
          <w:tcPr>
            <w:tcW w:type="dxa" w:w="1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Risk</w:t>
            </w:r>
          </w:p>
        </w:tc>
        <w:tc>
          <w:tcPr>
            <w:tcW w:type="dxa" w:w="2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Remediation</w:t>
            </w:r>
          </w:p>
        </w:tc>
        <w:tc>
          <w:tcPr>
            <w:tcW w:type="dxa" w:w="1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Owner</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Due</w:t>
            </w:r>
          </w:p>
        </w:tc>
      </w:tr>
      <w:tr>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No encryption at rest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High</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Enable disk encryption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IT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i/>
                <w:iCs/>
                <w:color w:val="808080"/>
                <w:sz w:val="20"/>
                <w:szCs w:val="20"/>
              </w:rPr>
              <w:t xml:space="preserve">Date</w:t>
            </w:r>
          </w:p>
        </w:tc>
      </w:tr>
    </w:tbl>
    <w:p>
      <w:pPr>
        <w:spacing w:after="100" w:before="220"/>
      </w:pPr>
      <w:r>
        <w:rPr>
          <w:rFonts w:ascii="Arial" w:cs="Arial" w:eastAsia="Arial" w:hAnsi="Arial"/>
          <w:b/>
          <w:bCs/>
          <w:color w:val="1F4E79"/>
          <w:sz w:val="24"/>
          <w:szCs w:val="24"/>
        </w:rPr>
        <w:t xml:space="preserve">4. 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i/>
                <w:iCs/>
                <w:color w:val="808080"/>
                <w:sz w:val="20"/>
                <w:szCs w:val="20"/>
              </w:rPr>
              <w:t xml:space="preserve">Overall compliance status, the most serious gaps, and the reassessment date.</w:t>
            </w:r>
          </w:p>
          <w:p>
            <w:r>
              <w:rPr>
                <w:sz w:val="20"/>
                <w:szCs w:val="20"/>
              </w:rPr>
              <w:t xml:space="preserve"/>
            </w:r>
          </w:p>
          <w:p>
            <w:r>
              <w:rPr>
                <w:sz w:val="20"/>
                <w:szCs w:val="20"/>
              </w:rPr>
              <w:t xml:space="preserve"/>
            </w:r>
          </w:p>
          <w:p>
            <w:r>
              <w:rPr>
                <w:sz w:val="20"/>
                <w:szCs w:val="20"/>
              </w:rPr>
              <w:t xml:space="preserve"/>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San Jacinto College · CYBR 4350 Senior Project · Prof. R. Virani · Simulated data only</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CYBR 4350 :: SOC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2026-06-27T01:47:47.624Z</dcterms:created>
  <dcterms:modified xsi:type="dcterms:W3CDTF">2026-06-27T01:47:47.624Z</dcterms:modified>
</cp:coreProperties>
</file>

<file path=docProps/custom.xml><?xml version="1.0" encoding="utf-8"?>
<Properties xmlns="http://schemas.openxmlformats.org/officeDocument/2006/custom-properties" xmlns:vt="http://schemas.openxmlformats.org/officeDocument/2006/docPropsVTypes"/>
</file>