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Risk Assessment Report</w:t>
      </w:r>
    </w:p>
    <w:p>
      <w:pPr>
        <w:pBdr>
          <w:bottom w:val="single" w:color="1F4E79" w:sz="8" w:space="4"/>
        </w:pBdr>
        <w:spacing w:after="160"/>
      </w:pPr>
      <w:r>
        <w:rPr>
          <w:rFonts w:ascii="Arial" w:cs="Arial" w:eastAsia="Arial" w:hAnsi="Arial"/>
          <w:color w:val="808080"/>
          <w:sz w:val="20"/>
          <w:szCs w:val="20"/>
        </w:rPr>
        <w:t xml:space="preserve">Security risk assessment following NIST SP 800-30</w:t>
      </w:r>
    </w:p>
    <w:p>
      <w:pPr>
        <w:shd w:fill="FBF3D5" w:val="clear"/>
        <w:spacing w:after="160" w:before="120"/>
      </w:pPr>
      <w:r>
        <w:rPr>
          <w:b/>
          <w:bCs/>
          <w:i/>
          <w:iCs/>
          <w:sz w:val="18"/>
          <w:szCs w:val="18"/>
        </w:rPr>
        <w:t xml:space="preserve">How to use: </w:t>
      </w:r>
      <w:r>
        <w:rPr>
          <w:i/>
          <w:iCs/>
          <w:sz w:val="18"/>
          <w:szCs w:val="18"/>
        </w:rPr>
        <w:t xml:space="preserve">Scope the system and its data, identify threats against vulnerabilities, rate each risk by likelihood and impact, then recommend an owned treatment. The risk register is the deliverable leadership acts on. Name the laws that apply, for example FERPA for student records. This maps to NIST SP 800-30 and the RMF (SP 800-37).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Assessment / Activity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Scenario</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Analyst name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Date (UTC)</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Systems / scope in scope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Status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Draft / Final</w:t>
            </w:r>
          </w:p>
        </w:tc>
      </w:tr>
    </w:tbl>
    <w:p>
      <w:pPr>
        <w:spacing w:after="100" w:before="220"/>
      </w:pPr>
      <w:r>
        <w:rPr>
          <w:rFonts w:ascii="Arial" w:cs="Arial" w:eastAsia="Arial" w:hAnsi="Arial"/>
          <w:b/>
          <w:bCs/>
          <w:color w:val="1F4E79"/>
          <w:sz w:val="24"/>
          <w:szCs w:val="24"/>
        </w:rPr>
        <w:t xml:space="preserve">1. Scope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The system or process assessed, the data it holds, and the laws that apply (FERPA, GLBA, HIPAA, PCI).</w:t>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2. Threats and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Threat source</w:t>
            </w:r>
          </w:p>
        </w:tc>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Vulnerability it exploits</w:t>
            </w:r>
          </w:p>
        </w:tc>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Existing control</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Phishing actor</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Accounts without MFA</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Email filtering only</w:t>
            </w:r>
          </w:p>
        </w:tc>
      </w:tr>
    </w:tbl>
    <w:p>
      <w:pPr>
        <w:spacing w:after="100" w:before="220"/>
      </w:pPr>
      <w:r>
        <w:rPr>
          <w:rFonts w:ascii="Arial" w:cs="Arial" w:eastAsia="Arial" w:hAnsi="Arial"/>
          <w:b/>
          <w:bCs/>
          <w:color w:val="1F4E79"/>
          <w:sz w:val="24"/>
          <w:szCs w:val="24"/>
        </w:rPr>
        <w:t xml:space="preserve">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00"/>
        <w:gridCol w:w="1300"/>
        <w:gridCol w:w="1300"/>
        <w:gridCol w:w="1600"/>
        <w:gridCol w:w="1400"/>
      </w:tblGrid>
      <w:tr>
        <w:trPr>
          <w:tblHeader/>
        </w:trPr>
        <w:tc>
          <w:tcPr>
            <w:tcW w:type="dxa" w:w="24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Risk</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Likelihood</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Impact</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Risk level</w:t>
            </w:r>
          </w:p>
        </w:tc>
        <w:tc>
          <w:tcPr>
            <w:tcW w:type="dxa" w:w="1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Treatment</w:t>
            </w:r>
          </w:p>
        </w:tc>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Owner</w:t>
            </w:r>
          </w:p>
        </w:tc>
      </w:tr>
      <w:tr>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Account takeover of the SIS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High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High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Mitigate: enforce MFA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IT Security</w:t>
            </w:r>
          </w:p>
        </w:tc>
      </w:tr>
    </w:tbl>
    <w:p>
      <w:pPr>
        <w:spacing w:after="100" w:before="220"/>
      </w:pPr>
      <w:r>
        <w:rPr>
          <w:rFonts w:ascii="Arial" w:cs="Arial" w:eastAsia="Arial" w:hAnsi="Arial"/>
          <w:b/>
          <w:bCs/>
          <w:color w:val="1F4E79"/>
          <w:sz w:val="24"/>
          <w:szCs w:val="24"/>
        </w:rPr>
        <w:t xml:space="preserve">4. Recommendations</w:t>
      </w:r>
    </w:p>
    <w:p>
      <w:pPr>
        <w:pStyle w:val="ListParagraph"/>
        <w:numPr>
          <w:ilvl w:val="0"/>
          <w:numId w:val="2"/>
        </w:numPr>
      </w:pPr>
      <w:r>
        <w:rPr>
          <w:sz w:val="20"/>
          <w:szCs w:val="20"/>
        </w:rPr>
        <w:t xml:space="preserve">Recommendation 1</w:t>
      </w:r>
    </w:p>
    <w:p>
      <w:pPr>
        <w:pStyle w:val="ListParagraph"/>
        <w:numPr>
          <w:ilvl w:val="0"/>
          <w:numId w:val="2"/>
        </w:numPr>
      </w:pPr>
      <w:r>
        <w:rPr>
          <w:sz w:val="20"/>
          <w:szCs w:val="20"/>
        </w:rPr>
        <w:t xml:space="preserve">Recommendation 2</w:t>
      </w:r>
    </w:p>
    <w:p>
      <w:pPr>
        <w:pStyle w:val="ListParagraph"/>
        <w:numPr>
          <w:ilvl w:val="0"/>
          <w:numId w:val="2"/>
        </w:numPr>
      </w:pPr>
      <w:r>
        <w:rPr>
          <w:sz w:val="20"/>
          <w:szCs w:val="20"/>
        </w:rPr>
        <w:t xml:space="preserve">Recommendation 3</w:t>
      </w:r>
    </w:p>
    <w:p>
      <w:pPr>
        <w:spacing w:after="100" w:before="220"/>
      </w:pPr>
      <w:r>
        <w:rPr>
          <w:rFonts w:ascii="Arial" w:cs="Arial" w:eastAsia="Arial" w:hAnsi="Arial"/>
          <w:b/>
          <w:bCs/>
          <w:color w:val="1F4E79"/>
          <w:sz w:val="24"/>
          <w:szCs w:val="24"/>
        </w:rPr>
        <w:t xml:space="preserve">5. Review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Assessed by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Reviewed by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Next reassessment date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San Jacinto College · CYBR 4350 Senior Project · Prof. R. Virani · Simulated data only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CYBR 4350 :: SOC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2026-06-27T01:47:47.620Z</dcterms:created>
  <dcterms:modified xsi:type="dcterms:W3CDTF">2026-06-27T01:47:47.620Z</dcterms:modified>
</cp:coreProperties>
</file>

<file path=docProps/custom.xml><?xml version="1.0" encoding="utf-8"?>
<Properties xmlns="http://schemas.openxmlformats.org/officeDocument/2006/custom-properties" xmlns:vt="http://schemas.openxmlformats.org/officeDocument/2006/docPropsVTypes"/>
</file>