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Security Policy / Governance Document</w:t>
      </w:r>
    </w:p>
    <w:p>
      <w:pPr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Policy, data classification scheme, or standard</w:t>
      </w:r>
    </w:p>
    <w:p>
      <w:pPr>
        <w:shd w:fill="FBF3D5" w:val="clear"/>
        <w:spacing w:after="160" w:before="120"/>
      </w:pPr>
      <w:r>
        <w:rPr>
          <w:b/>
          <w:bCs/>
          <w:i/>
          <w:iCs/>
          <w:sz w:val="18"/>
          <w:szCs w:val="18"/>
        </w:rPr>
        <w:t xml:space="preserve">How to use: </w:t>
      </w:r>
      <w:r>
        <w:rPr>
          <w:i/>
          <w:iCs/>
          <w:sz w:val="18"/>
          <w:szCs w:val="18"/>
        </w:rPr>
        <w:t xml:space="preserve">Write rules in plain language, with clear roles and enforceable statements. Route for review and approval, set an effective date and a review cycle, and plan how staff will be trained and the policy enforced.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Policy title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Annual / Biennial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Purpose and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Why this policy exists and who and what it covers.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Policy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The rules themselves, in plain, specific, enforceable language. Number them.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Data owner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Approves access and classification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Define any terms a reader needs, for example each data classification level.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Enforcement and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Consequences for violations and the process to request an exception.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Approval and acknowledgment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Policy owner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Leadership approver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San Jacinto College · CYBR 4350 Senior Project · Prof. R. Virani · Simulated data only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CYBR 4350 :: SOC Range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2026-06-27T01:47:47.625Z</dcterms:created>
  <dcterms:modified xsi:type="dcterms:W3CDTF">2026-06-27T01:47:47.625Z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