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LANS-RISK:</w:t>
      </w:r>
      <w:r>
        <w:t xml:space="preserve"> </w:t>
      </w:r>
      <w:r>
        <w:t xml:space="preserve">Queue-Aware</w:t>
      </w:r>
      <w:r>
        <w:t xml:space="preserve"> </w:t>
      </w:r>
      <w:r>
        <w:t xml:space="preserve">Supervision</w:t>
      </w:r>
      <w:r>
        <w:t xml:space="preserve"> </w:t>
      </w:r>
      <w:r>
        <w:t xml:space="preserve">of</w:t>
      </w:r>
      <w:r>
        <w:t xml:space="preserve"> </w:t>
      </w:r>
      <w:r>
        <w:t xml:space="preserve">Learned</w:t>
      </w:r>
      <w:r>
        <w:t xml:space="preserve"> </w:t>
      </w:r>
      <w:r>
        <w:t xml:space="preserve">Driving</w:t>
      </w:r>
      <w:r>
        <w:t xml:space="preserve"> </w:t>
      </w:r>
      <w:r>
        <w:t xml:space="preserve">Policies</w:t>
      </w:r>
      <w:r>
        <w:t xml:space="preserve"> </w:t>
      </w:r>
      <w:r>
        <w:t xml:space="preserve">under</w:t>
      </w:r>
      <w:r>
        <w:t xml:space="preserve"> </w:t>
      </w:r>
      <w:r>
        <w:t xml:space="preserve">Actuation</w:t>
      </w:r>
      <w:r>
        <w:t xml:space="preserve"> </w:t>
      </w:r>
      <w:r>
        <w:t xml:space="preserve">Delay</w:t>
      </w:r>
    </w:p>
    <w:p>
      <w:pPr>
        <w:jc w:val="center"/>
      </w:pPr>
      <w:r>
        <w:t>Rizwan Ali and Jie Tian</w:t>
      </w:r>
    </w:p>
    <w:p>
      <w:pPr>
        <w:jc w:val="center"/>
      </w:pPr>
      <w:r>
        <w:t>School of Automotive and Traffic Engineering</w:t>
        <w:br/>
        <w:t>Nanjing Forestry University, Nanjing, China</w:t>
      </w:r>
    </w:p>
    <w:p>
      <w:pPr>
        <w:pStyle w:val="AbstractTitle"/>
      </w:pPr>
      <w:r>
        <w:t xml:space="preserve">Abstract</w:t>
      </w:r>
    </w:p>
    <w:p>
      <w:pPr>
        <w:pStyle w:val="Abstract"/>
      </w:pPr>
      <w:r>
        <w:t xml:space="preserve">Delayed</w:t>
      </w:r>
      <w:r>
        <w:t xml:space="preserve"> </w:t>
      </w:r>
      <w:r>
        <w:t xml:space="preserve">commands</w:t>
      </w:r>
      <w:r>
        <w:t xml:space="preserve"> </w:t>
      </w:r>
      <w:r>
        <w:t xml:space="preserve">can</w:t>
      </w:r>
      <w:r>
        <w:t xml:space="preserve"> </w:t>
      </w:r>
      <w:r>
        <w:t xml:space="preserve">become</w:t>
      </w:r>
      <w:r>
        <w:t xml:space="preserve"> </w:t>
      </w:r>
      <w:r>
        <w:t xml:space="preserve">inappropriate</w:t>
      </w:r>
      <w:r>
        <w:t xml:space="preserve"> </w:t>
      </w:r>
      <w:r>
        <w:t xml:space="preserve">before</w:t>
      </w:r>
      <w:r>
        <w:t xml:space="preserve"> </w:t>
      </w:r>
      <w:r>
        <w:t xml:space="preserve">execution.</w:t>
      </w:r>
      <w:r>
        <w:t xml:space="preserve"> </w:t>
      </w:r>
      <w:r>
        <w:t xml:space="preserve">We</w:t>
      </w:r>
      <w:r>
        <w:t xml:space="preserve"> </w:t>
      </w:r>
      <w:r>
        <w:t xml:space="preserve">evaluate</w:t>
      </w:r>
      <w:r>
        <w:t xml:space="preserve"> </w:t>
      </w:r>
      <w:r>
        <w:t xml:space="preserve">LANS-RISK,</w:t>
      </w:r>
      <w:r>
        <w:t xml:space="preserve"> </w:t>
      </w:r>
      <w:r>
        <w:t xml:space="preserve">a</w:t>
      </w:r>
      <w:r>
        <w:t xml:space="preserve"> </w:t>
      </w:r>
      <w:r>
        <w:t xml:space="preserve">queue-aware</w:t>
      </w:r>
      <w:r>
        <w:t xml:space="preserve"> </w:t>
      </w:r>
      <w:r>
        <w:t xml:space="preserve">supervisor</w:t>
      </w:r>
      <w:r>
        <w:t xml:space="preserve"> </w:t>
      </w:r>
      <w:r>
        <w:t xml:space="preserve">that</w:t>
      </w:r>
      <w:r>
        <w:t xml:space="preserve"> </w:t>
      </w:r>
      <w:r>
        <w:t xml:space="preserve">incorporates</w:t>
      </w:r>
      <w:r>
        <w:t xml:space="preserve"> </w:t>
      </w:r>
      <w:r>
        <w:t xml:space="preserve">a</w:t>
      </w:r>
      <w:r>
        <w:t xml:space="preserve"> </w:t>
      </w:r>
      <w:r>
        <w:t xml:space="preserve">frozen</w:t>
      </w:r>
      <w:r>
        <w:t xml:space="preserve"> </w:t>
      </w:r>
      <w:r>
        <w:t xml:space="preserve">PPO</w:t>
      </w:r>
      <w:r>
        <w:t xml:space="preserve"> </w:t>
      </w:r>
      <w:r>
        <w:t xml:space="preserve">proposal</w:t>
      </w:r>
      <w:r>
        <w:t xml:space="preserve"> </w:t>
      </w:r>
      <w:r>
        <w:t xml:space="preserve">and</w:t>
      </w:r>
      <w:r>
        <w:t xml:space="preserve"> </w:t>
      </w:r>
      <w:r>
        <w:t xml:space="preserve">a</w:t>
      </w:r>
      <w:r>
        <w:t xml:space="preserve"> </w:t>
      </w:r>
      <w:r>
        <w:t xml:space="preserve">retained</w:t>
      </w:r>
      <w:r>
        <w:t xml:space="preserve"> </w:t>
      </w:r>
      <w:r>
        <w:t xml:space="preserve">trajectory</w:t>
      </w:r>
      <w:r>
        <w:t xml:space="preserve"> </w:t>
      </w:r>
      <w:r>
        <w:t xml:space="preserve">into</w:t>
      </w:r>
      <w:r>
        <w:t xml:space="preserve"> </w:t>
      </w:r>
      <w:r>
        <w:t xml:space="preserve">sampled</w:t>
      </w:r>
      <w:r>
        <w:t xml:space="preserve"> </w:t>
      </w:r>
      <w:r>
        <w:t xml:space="preserve">planning.</w:t>
      </w:r>
      <w:r>
        <w:t xml:space="preserve"> </w:t>
      </w:r>
      <w:r>
        <w:t xml:space="preserve">Candidate</w:t>
      </w:r>
      <w:r>
        <w:t xml:space="preserve"> </w:t>
      </w:r>
      <w:r>
        <w:t xml:space="preserve">ranking</w:t>
      </w:r>
      <w:r>
        <w:t xml:space="preserve"> </w:t>
      </w:r>
      <w:r>
        <w:t xml:space="preserve">prioritizes</w:t>
      </w:r>
      <w:r>
        <w:t xml:space="preserve"> </w:t>
      </w:r>
      <w:r>
        <w:t xml:space="preserve">collision-free</w:t>
      </w:r>
      <w:r>
        <w:t xml:space="preserve"> </w:t>
      </w:r>
      <w:r>
        <w:t xml:space="preserve">duration,</w:t>
      </w:r>
      <w:r>
        <w:t xml:space="preserve"> </w:t>
      </w:r>
      <w:r>
        <w:t xml:space="preserve">corridor</w:t>
      </w:r>
      <w:r>
        <w:t xml:space="preserve"> </w:t>
      </w:r>
      <w:r>
        <w:t xml:space="preserve">retention</w:t>
      </w:r>
      <w:r>
        <w:t xml:space="preserve"> </w:t>
      </w:r>
      <w:r>
        <w:t xml:space="preserve">and</w:t>
      </w:r>
      <w:r>
        <w:t xml:space="preserve"> </w:t>
      </w:r>
      <w:r>
        <w:t xml:space="preserve">tracking</w:t>
      </w:r>
      <w:r>
        <w:t xml:space="preserve"> </w:t>
      </w:r>
      <w:r>
        <w:t xml:space="preserve">cost.</w:t>
      </w:r>
      <w:r>
        <w:t xml:space="preserve"> </w:t>
      </w:r>
      <w:r>
        <w:t xml:space="preserve">The</w:t>
      </w:r>
      <w:r>
        <w:t xml:space="preserve"> </w:t>
      </w:r>
      <w:r>
        <w:t xml:space="preserve">complete</w:t>
      </w:r>
      <w:r>
        <w:t xml:space="preserve"> </w:t>
      </w:r>
      <w:r>
        <w:t xml:space="preserve">main-confirmation</w:t>
      </w:r>
      <w:r>
        <w:t xml:space="preserve"> </w:t>
      </w:r>
      <w:r>
        <w:t xml:space="preserve">grid</w:t>
      </w:r>
      <w:r>
        <w:t xml:space="preserve"> </w:t>
      </w:r>
      <w:r>
        <w:t xml:space="preserve">contains</w:t>
      </w:r>
      <w:r>
        <w:t xml:space="preserve"> </w:t>
      </w:r>
      <w:r>
        <w:t xml:space="preserve">44,000</w:t>
      </w:r>
      <w:r>
        <w:t xml:space="preserve"> </w:t>
      </w:r>
      <w:r>
        <w:t xml:space="preserve">records,</w:t>
      </w:r>
      <w:r>
        <w:t xml:space="preserve"> </w:t>
      </w:r>
      <w:r>
        <w:t xml:space="preserve">12</w:t>
      </w:r>
      <w:r>
        <w:t xml:space="preserve"> </w:t>
      </w:r>
      <w:r>
        <w:t xml:space="preserve">controllers,</w:t>
      </w:r>
      <w:r>
        <w:t xml:space="preserve"> </w:t>
      </w:r>
      <w:r>
        <w:t xml:space="preserve">four</w:t>
      </w:r>
      <w:r>
        <w:t xml:space="preserve"> </w:t>
      </w:r>
      <w:r>
        <w:t xml:space="preserve">synthetic</w:t>
      </w:r>
      <w:r>
        <w:t xml:space="preserve"> </w:t>
      </w:r>
      <w:r>
        <w:t xml:space="preserve">traffic</w:t>
      </w:r>
      <w:r>
        <w:t xml:space="preserve"> </w:t>
      </w:r>
      <w:r>
        <w:t xml:space="preserve">scenarios</w:t>
      </w:r>
      <w:r>
        <w:t xml:space="preserve"> </w:t>
      </w:r>
      <w:r>
        <w:t xml:space="preserve">and</w:t>
      </w:r>
      <w:r>
        <w:t xml:space="preserve"> </w:t>
      </w:r>
      <w:r>
        <w:t xml:space="preserve">five</w:t>
      </w:r>
      <w:r>
        <w:t xml:space="preserve"> </w:t>
      </w:r>
      <w:r>
        <w:t xml:space="preserve">command</w:t>
      </w:r>
      <w:r>
        <w:t xml:space="preserve"> </w:t>
      </w:r>
      <w:r>
        <w:t xml:space="preserve">delays.</w:t>
      </w:r>
      <w:r>
        <w:t xml:space="preserve"> </w:t>
      </w:r>
      <w:r>
        <w:t xml:space="preserve">LANS-RISK</w:t>
      </w:r>
      <w:r>
        <w:t xml:space="preserve"> </w:t>
      </w:r>
      <w:r>
        <w:t xml:space="preserve">and</w:t>
      </w:r>
      <w:r>
        <w:t xml:space="preserve"> </w:t>
      </w:r>
      <w:r>
        <w:t xml:space="preserve">nominal</w:t>
      </w:r>
      <w:r>
        <w:t xml:space="preserve"> </w:t>
      </w:r>
      <w:r>
        <w:t xml:space="preserve">MPC</w:t>
      </w:r>
      <w:r>
        <w:t xml:space="preserve"> </w:t>
      </w:r>
      <w:r>
        <w:t xml:space="preserve">attain</w:t>
      </w:r>
      <w:r>
        <w:t xml:space="preserve"> </w:t>
      </w:r>
      <w:r>
        <w:t xml:space="preserve">identical</w:t>
      </w:r>
      <w:r>
        <w:t xml:space="preserve"> </w:t>
      </w:r>
      <w:r>
        <w:t xml:space="preserve">observed</w:t>
      </w:r>
      <w:r>
        <w:t xml:space="preserve"> </w:t>
      </w:r>
      <w:r>
        <w:t xml:space="preserve">contiguous</w:t>
      </w:r>
      <w:r>
        <w:t xml:space="preserve"> </w:t>
      </w:r>
      <w:r>
        <w:t xml:space="preserve">passing</w:t>
      </w:r>
      <w:r>
        <w:t xml:space="preserve"> </w:t>
      </w:r>
      <w:r>
        <w:t xml:space="preserve">thresholds:</w:t>
      </w:r>
      <w:r>
        <w:t xml:space="preserve"> </w:t>
      </w:r>
      <w:r>
        <w:t xml:space="preserve">1,000 ms</w:t>
      </w:r>
      <w:r>
        <w:t xml:space="preserve"> </w:t>
      </w:r>
      <w:r>
        <w:t xml:space="preserve">on</w:t>
      </w:r>
      <w:r>
        <w:t xml:space="preserve"> </w:t>
      </w:r>
      <w:r>
        <w:t xml:space="preserve">Highway</w:t>
      </w:r>
      <w:r>
        <w:t xml:space="preserve"> </w:t>
      </w:r>
      <w:r>
        <w:t xml:space="preserve">and</w:t>
      </w:r>
      <w:r>
        <w:t xml:space="preserve"> </w:t>
      </w:r>
      <w:r>
        <w:t xml:space="preserve">Intersection,</w:t>
      </w:r>
      <w:r>
        <w:t xml:space="preserve"> </w:t>
      </w:r>
      <w:r>
        <w:t xml:space="preserve">700 ms</w:t>
      </w:r>
      <w:r>
        <w:t xml:space="preserve"> </w:t>
      </w:r>
      <w:r>
        <w:t xml:space="preserve">on</w:t>
      </w:r>
      <w:r>
        <w:t xml:space="preserve"> </w:t>
      </w:r>
      <w:r>
        <w:t xml:space="preserve">Merge</w:t>
      </w:r>
      <w:r>
        <w:t xml:space="preserve"> </w:t>
      </w:r>
      <w:r>
        <w:t xml:space="preserve">and</w:t>
      </w:r>
      <w:r>
        <w:t xml:space="preserve"> </w:t>
      </w:r>
      <w:r>
        <w:t xml:space="preserve">500 ms</w:t>
      </w:r>
      <w:r>
        <w:t xml:space="preserve"> </w:t>
      </w:r>
      <w:r>
        <w:t xml:space="preserve">on</w:t>
      </w:r>
      <w:r>
        <w:t xml:space="preserve"> </w:t>
      </w:r>
      <w:r>
        <w:t xml:space="preserve">Roundabout.</w:t>
      </w:r>
      <w:r>
        <w:t xml:space="preserve"> </w:t>
      </w:r>
      <w:r>
        <w:t xml:space="preserve">Removing</w:t>
      </w:r>
      <w:r>
        <w:t xml:space="preserve"> </w:t>
      </w:r>
      <w:r>
        <w:t xml:space="preserve">queue</w:t>
      </w:r>
      <w:r>
        <w:t xml:space="preserve"> </w:t>
      </w:r>
      <w:r>
        <w:t xml:space="preserve">prediction</w:t>
      </w:r>
      <w:r>
        <w:t xml:space="preserve"> </w:t>
      </w:r>
      <w:r>
        <w:t xml:space="preserve">reduces</w:t>
      </w:r>
      <w:r>
        <w:t xml:space="preserve"> </w:t>
      </w:r>
      <w:r>
        <w:t xml:space="preserve">corridor</w:t>
      </w:r>
      <w:r>
        <w:t xml:space="preserve"> </w:t>
      </w:r>
      <w:r>
        <w:t xml:space="preserve">completion</w:t>
      </w:r>
      <w:r>
        <w:t xml:space="preserve"> </w:t>
      </w:r>
      <w:r>
        <w:t xml:space="preserve">in</w:t>
      </w:r>
      <w:r>
        <w:t xml:space="preserve"> </w:t>
      </w:r>
      <w:r>
        <w:t xml:space="preserve">45</w:t>
      </w:r>
      <w:r>
        <w:t xml:space="preserve"> </w:t>
      </w:r>
      <w:r>
        <w:t xml:space="preserve">of</w:t>
      </w:r>
      <w:r>
        <w:t xml:space="preserve"> </w:t>
      </w:r>
      <w:r>
        <w:t xml:space="preserve">60</w:t>
      </w:r>
      <w:r>
        <w:t xml:space="preserve"> </w:t>
      </w:r>
      <w:r>
        <w:t xml:space="preserve">paired</w:t>
      </w:r>
      <w:r>
        <w:t xml:space="preserve"> </w:t>
      </w:r>
      <w:r>
        <w:t xml:space="preserve">actor/scenario/delay</w:t>
      </w:r>
      <w:r>
        <w:t xml:space="preserve"> </w:t>
      </w:r>
      <w:r>
        <w:t xml:space="preserve">contrasts,</w:t>
      </w:r>
      <w:r>
        <w:t xml:space="preserve"> </w:t>
      </w:r>
      <w:r>
        <w:t xml:space="preserve">all</w:t>
      </w:r>
      <w:r>
        <w:t xml:space="preserve"> </w:t>
      </w:r>
      <w:r>
        <w:t xml:space="preserve">significant</w:t>
      </w:r>
      <w:r>
        <w:t xml:space="preserve"> </w:t>
      </w:r>
      <w:r>
        <w:t xml:space="preserve">after</w:t>
      </w:r>
      <w:r>
        <w:t xml:space="preserve"> </w:t>
      </w:r>
      <w:r>
        <w:t xml:space="preserve">study-wide</w:t>
      </w:r>
      <w:r>
        <w:t xml:space="preserve"> </w:t>
      </w:r>
      <w:r>
        <w:t xml:space="preserve">Holm</w:t>
      </w:r>
      <w:r>
        <w:t xml:space="preserve"> </w:t>
      </w:r>
      <w:r>
        <w:t xml:space="preserve">correction.</w:t>
      </w:r>
      <w:r>
        <w:t xml:space="preserve"> </w:t>
      </w:r>
      <w:r>
        <w:t xml:space="preserve">Removing</w:t>
      </w:r>
      <w:r>
        <w:t xml:space="preserve"> </w:t>
      </w:r>
      <w:r>
        <w:t xml:space="preserve">the</w:t>
      </w:r>
      <w:r>
        <w:t xml:space="preserve"> </w:t>
      </w:r>
      <w:r>
        <w:t xml:space="preserve">actor</w:t>
      </w:r>
      <w:r>
        <w:t xml:space="preserve"> </w:t>
      </w:r>
      <w:r>
        <w:t xml:space="preserve">leaves</w:t>
      </w:r>
      <w:r>
        <w:t xml:space="preserve"> </w:t>
      </w:r>
      <w:r>
        <w:t xml:space="preserve">completion</w:t>
      </w:r>
      <w:r>
        <w:t xml:space="preserve"> </w:t>
      </w:r>
      <w:r>
        <w:t xml:space="preserve">rates</w:t>
      </w:r>
      <w:r>
        <w:t xml:space="preserve"> </w:t>
      </w:r>
      <w:r>
        <w:t xml:space="preserve">unchanged.</w:t>
      </w:r>
      <w:r>
        <w:t xml:space="preserve"> </w:t>
      </w:r>
      <w:r>
        <w:t xml:space="preserve">Tracking</w:t>
      </w:r>
      <w:r>
        <w:t xml:space="preserve"> </w:t>
      </w:r>
      <w:r>
        <w:t xml:space="preserve">differences</w:t>
      </w:r>
      <w:r>
        <w:t xml:space="preserve"> </w:t>
      </w:r>
      <w:r>
        <w:t xml:space="preserve">against</w:t>
      </w:r>
      <w:r>
        <w:t xml:space="preserve"> </w:t>
      </w:r>
      <w:r>
        <w:t xml:space="preserve">MPC</w:t>
      </w:r>
      <w:r>
        <w:t xml:space="preserve"> </w:t>
      </w:r>
      <w:r>
        <w:t xml:space="preserve">are</w:t>
      </w:r>
      <w:r>
        <w:t xml:space="preserve"> </w:t>
      </w:r>
      <w:r>
        <w:t xml:space="preserve">scenario-dependent.</w:t>
      </w:r>
      <w:r>
        <w:t xml:space="preserve"> </w:t>
      </w:r>
      <w:r>
        <w:t xml:space="preserve">The</w:t>
      </w:r>
      <w:r>
        <w:t xml:space="preserve"> </w:t>
      </w:r>
      <w:r>
        <w:t xml:space="preserve">results</w:t>
      </w:r>
      <w:r>
        <w:t xml:space="preserve"> </w:t>
      </w:r>
      <w:r>
        <w:t xml:space="preserve">support</w:t>
      </w:r>
      <w:r>
        <w:t xml:space="preserve"> </w:t>
      </w:r>
      <w:r>
        <w:t xml:space="preserve">queue</w:t>
      </w:r>
      <w:r>
        <w:t xml:space="preserve"> </w:t>
      </w:r>
      <w:r>
        <w:t xml:space="preserve">compensation</w:t>
      </w:r>
      <w:r>
        <w:t xml:space="preserve"> </w:t>
      </w:r>
      <w:r>
        <w:t xml:space="preserve">within</w:t>
      </w:r>
      <w:r>
        <w:t xml:space="preserve"> </w:t>
      </w:r>
      <w:r>
        <w:t xml:space="preserve">this</w:t>
      </w:r>
      <w:r>
        <w:t xml:space="preserve"> </w:t>
      </w:r>
      <w:r>
        <w:t xml:space="preserve">implementation,</w:t>
      </w:r>
      <w:r>
        <w:t xml:space="preserve"> </w:t>
      </w:r>
      <w:r>
        <w:t xml:space="preserve">without</w:t>
      </w:r>
      <w:r>
        <w:t xml:space="preserve"> </w:t>
      </w:r>
      <w:r>
        <w:t xml:space="preserve">establishing</w:t>
      </w:r>
      <w:r>
        <w:t xml:space="preserve"> </w:t>
      </w:r>
      <w:r>
        <w:t xml:space="preserve">a</w:t>
      </w:r>
      <w:r>
        <w:t xml:space="preserve"> </w:t>
      </w:r>
      <w:r>
        <w:t xml:space="preserve">general</w:t>
      </w:r>
      <w:r>
        <w:t xml:space="preserve"> </w:t>
      </w:r>
      <w:r>
        <w:t xml:space="preserve">learned-proposal</w:t>
      </w:r>
      <w:r>
        <w:t xml:space="preserve"> </w:t>
      </w:r>
      <w:r>
        <w:t xml:space="preserve">advantage,</w:t>
      </w:r>
      <w:r>
        <w:t xml:space="preserve"> </w:t>
      </w:r>
      <w:r>
        <w:t xml:space="preserve">superiority</w:t>
      </w:r>
      <w:r>
        <w:t xml:space="preserve"> </w:t>
      </w:r>
      <w:r>
        <w:t xml:space="preserve">over</w:t>
      </w:r>
      <w:r>
        <w:t xml:space="preserve"> </w:t>
      </w:r>
      <w:r>
        <w:t xml:space="preserve">MPC</w:t>
      </w:r>
      <w:r>
        <w:t xml:space="preserve"> </w:t>
      </w:r>
      <w:r>
        <w:t xml:space="preserve">or</w:t>
      </w:r>
      <w:r>
        <w:t xml:space="preserve"> </w:t>
      </w:r>
      <w:r>
        <w:t xml:space="preserve">a</w:t>
      </w:r>
      <w:r>
        <w:t xml:space="preserve"> </w:t>
      </w:r>
      <w:r>
        <w:t xml:space="preserve">formal</w:t>
      </w:r>
      <w:r>
        <w:t xml:space="preserve"> </w:t>
      </w:r>
      <w:r>
        <w:t xml:space="preserve">safety</w:t>
      </w:r>
      <w:r>
        <w:t xml:space="preserve"> </w:t>
      </w:r>
      <w:r>
        <w:t xml:space="preserve">guarantee.</w:t>
      </w:r>
    </w:p>
    <w:p>
      <w:pPr>
        <w:pStyle w:val="FirstParagraph"/>
      </w:pPr>
      <w:r>
        <w:t xml:space="preserve">autonomous driving, actuation delay, predictive supervision, learned control, model predictive control, reproducible evaluation</w:t>
      </w:r>
    </w:p>
    <w:bookmarkStart w:id="20" w:name="introduction"/>
    <w:p>
      <w:pPr>
        <w:pStyle w:val="Heading1"/>
      </w:pPr>
      <w:r>
        <w:t xml:space="preserve">Introduction</w:t>
      </w:r>
    </w:p>
    <w:p>
      <w:pPr>
        <w:pStyle w:val="FirstParagraph"/>
      </w:pPr>
      <w:r>
        <w:t xml:space="preserve">Delayed actuation requires a driving controller to account for pending commands and traffic evolution before a correction arrives. Evaluation must therefore combine collision outcomes, completion and tracking. Delay-aware MPC [1] and predictive supervision [2] are established; queue prediction or guarding a learned policy alone is not a new contribution.</w:t>
      </w:r>
    </w:p>
    <w:p>
      <w:pPr>
        <w:pStyle w:val="BodyText"/>
      </w:pPr>
      <w:r>
        <w:t xml:space="preserve">Earlier LANS [3] studies analytical path tracking with PPO steering residuals and packet-age handling. Here LANS-RISK combines queue rollout, a frozen PPO proposal, retained trajectories and collision-first sampled selection under a common physical FIFO. The contribution is an executable design, a resource/information-matched nominal MPC comparison, and matched removals of prediction and actor use. The central empirical finding is that queue compensation matters while the actor adds no observed completion benefit. All 12 main-confirmation controllers are reported. Plant/traffic robustness, observation-delay and dedicated runtime studies remain outside this conference article.</w:t>
      </w:r>
    </w:p>
    <w:bookmarkEnd w:id="20"/>
    <w:bookmarkStart w:id="25" w:name="X0cea73a0b7d1d47a0ece4eb1f1ce86d6ff9c220"/>
    <w:p>
      <w:pPr>
        <w:pStyle w:val="Heading1"/>
      </w:pPr>
      <w:r>
        <w:t xml:space="preserve">Related Work and State-of-the-Art Positioning</w:t>
      </w:r>
    </w:p>
    <w:bookmarkStart w:id="21" w:name="X3713a2227fce4b163d1c1418e6c80e8e8e1bdcf"/>
    <w:p>
      <w:pPr>
        <w:pStyle w:val="Heading2"/>
      </w:pPr>
      <w:r>
        <w:t xml:space="preserve">Predictive Safety Filtering and Delayed Shielding</w:t>
      </w:r>
    </w:p>
    <w:p>
      <w:pPr>
        <w:pStyle w:val="FirstParagraph"/>
      </w:pPr>
      <w:r>
        <w:t xml:space="preserve">Learning-based MPC combines prediction and optimization with learned components [4]; safe-learning surveys distinguish empirical performance from assumption-dependent guarantees [5]. Nonlinear predictive safety filtering [2] uses uncertainty descriptions and safe backups. Racing PSF [6] adds an invariant terminal set and demonstrates track-boundary protection on a 1:28-scale vehicle. System-level-synthesis filters [7] address linear systems with bounded disturbances.</w:t>
      </w:r>
    </w:p>
    <w:p>
      <w:pPr>
        <w:pStyle w:val="BodyText"/>
      </w:pPr>
      <w:r>
        <w:t xml:space="preserve">Sampled-data barrier functions address input delay [8]; Cano Córdoba</w:t>
      </w:r>
      <w:r>
        <w:t xml:space="preserve"> </w:t>
      </w:r>
      <w:r>
        <w:rPr>
          <w:i/>
          <w:iCs/>
        </w:rPr>
        <w:t xml:space="preserve">et al.</w:t>
      </w:r>
      <w:r>
        <w:t xml:space="preserve"> [9] synthesize safety-game shields under bounded observation delay, with CARLA/gridworld demonstrations. LANS-RISK ranks sampled forecasts without their formal certificates or terminal-safe sets.</w:t>
      </w:r>
    </w:p>
    <w:bookmarkEnd w:id="21"/>
    <w:bookmarkStart w:id="22" w:name="Xcc2235d0d9ac809fc263fed996681d915bef8b5"/>
    <w:p>
      <w:pPr>
        <w:pStyle w:val="Heading2"/>
      </w:pPr>
      <w:r>
        <w:t xml:space="preserve">Delay-Aware Driving and Reinforcement Learning</w:t>
      </w:r>
    </w:p>
    <w:p>
      <w:pPr>
        <w:pStyle w:val="FirstParagraph"/>
      </w:pPr>
      <w:r>
        <w:t xml:space="preserve">Kalaria</w:t>
      </w:r>
      <w:r>
        <w:t xml:space="preserve"> </w:t>
      </w:r>
      <w:r>
        <w:rPr>
          <w:i/>
          <w:iCs/>
        </w:rPr>
        <w:t xml:space="preserve">et al.</w:t>
      </w:r>
      <w:r>
        <w:t xml:space="preserve"> [1] study adaptive delay estimation, robust tube MPC and protection of a learned controller. Our known fixed FIFO isolates command delay without reproducing their estimator or tube construction. Signal-delay RL [10], direct belief forecasting [11] and random-delay RL [12] change representation or training; our actors remain frozen.</w:t>
      </w:r>
    </w:p>
    <w:p>
      <w:pPr>
        <w:pStyle w:val="BodyText"/>
      </w:pPr>
      <w:r>
        <w:t xml:space="preserve">DAROM’s supplied May 2026 version [13] combines an encoder of delayed observations, masked action histories and delay magnitude with a stopping-distance controller. Its SUMO/NGSIM-derived merging tests use stochastic V2I observation delays up to 2 s; that success endpoint is not comparable with corridor completion under our action FIFO. Other merging studies combine RL with MPC [14] or probabilistic barriers [15].</w:t>
      </w:r>
    </w:p>
    <w:bookmarkEnd w:id="22"/>
    <w:bookmarkStart w:id="24" w:name="scope-of-the-comparison"/>
    <w:p>
      <w:pPr>
        <w:pStyle w:val="Heading2"/>
      </w:pPr>
      <w:r>
        <w:t xml:space="preserve">Scope of the Comparison</w:t>
      </w:r>
    </w:p>
    <w:p>
      <w:pPr>
        <w:pStyle w:val="FirstParagraph"/>
      </w:pPr>
      <w:r>
        <w:t xml:space="preserve">Table I compares mechanisms qualitatively; external methods were not rerun. Following unified benchmarking principles [16], nominal LANS–MPC matches plant, structured observations, action limits and planning resources. Other baselines’ information interfaces differ. The benchmark and failure metrics differ from earlier LANS [3]; this article reports unpenalized episode RMSE.</w:t>
      </w:r>
    </w:p>
    <w:bookmarkStart w:id="23" w:name="tab:literature"/>
    <w:p>
      <w:pPr>
        <w:pStyle w:val="TableCaption"/>
      </w:pPr>
      <w:r>
        <w:t xml:space="preserve">Table I. </w:t>
      </w:r>
      <w:r>
        <w:t xml:space="preserve">Qualitative literature comparison across different settings; external methods were not rerun. Guarantees depend on the cited assumptions.</w:t>
      </w:r>
    </w:p>
    <w:tbl>
      <w:tblPr>
        <w:tblStyle w:val="Table"/>
        <w:tblW w:type="auto" w:w="0"/>
        <w:jc w:val="left"/>
        <w:tblLook w:firstRow="1" w:lastRow="0" w:firstColumn="0" w:lastColumn="0" w:noHBand="0" w:noVBand="0" w:val="0020"/>
        <w:tblCaption w:val="Qualitative literature comparison across different settings; external methods were not rerun. Guarantees depend on the cited assumptions."/>
      </w:tblPr>
      <w:tblGrid>
        <w:gridCol w:w="1980"/>
        <w:gridCol w:w="1980"/>
        <w:gridCol w:w="1980"/>
        <w:gridCol w:w="1980"/>
      </w:tblGrid>
      <w:tr>
        <w:trPr>
          <w:tblHeader w:val="on"/>
        </w:trPr>
        <w:tc>
          <w:tcPr/>
          <w:p>
            <w:pPr>
              <w:pStyle w:val="Compact"/>
              <w:jc w:val="left"/>
            </w:pPr>
            <w:r>
              <w:t xml:space="preserve">Approach / source</w:t>
            </w:r>
          </w:p>
        </w:tc>
        <w:tc>
          <w:tcPr/>
          <w:p>
            <w:pPr>
              <w:pStyle w:val="Compact"/>
              <w:jc w:val="left"/>
            </w:pPr>
            <w:r>
              <w:t xml:space="preserve">Delay or information setting</w:t>
            </w:r>
          </w:p>
        </w:tc>
        <w:tc>
          <w:tcPr/>
          <w:p>
            <w:pPr>
              <w:pStyle w:val="Compact"/>
              <w:jc w:val="left"/>
            </w:pPr>
            <w:r>
              <w:t xml:space="preserve">Supervision and safety basis</w:t>
            </w:r>
          </w:p>
        </w:tc>
        <w:tc>
          <w:tcPr/>
          <w:p>
            <w:pPr>
              <w:pStyle w:val="Compact"/>
              <w:jc w:val="left"/>
            </w:pPr>
            <w:r>
              <w:t xml:space="preserve">Evaluation / distinction</w:t>
            </w:r>
          </w:p>
        </w:tc>
      </w:tr>
      <w:tr>
        <w:tc>
          <w:tcPr/>
          <w:p>
            <w:pPr>
              <w:pStyle w:val="Compact"/>
              <w:jc w:val="left"/>
            </w:pPr>
            <w:r>
              <w:t xml:space="preserve">Nonlinear PSF [2] (2021)</w:t>
            </w:r>
          </w:p>
        </w:tc>
        <w:tc>
          <w:tcPr/>
          <w:p>
            <w:pPr>
              <w:pStyle w:val="Compact"/>
              <w:jc w:val="left"/>
            </w:pPr>
            <w:r>
              <w:t xml:space="preserve">Model uncertainty; not our fixed FIFO protocol</w:t>
            </w:r>
          </w:p>
        </w:tc>
        <w:tc>
          <w:tcPr/>
          <w:p>
            <w:pPr>
              <w:pStyle w:val="Compact"/>
              <w:jc w:val="left"/>
            </w:pPr>
            <w:r>
              <w:t xml:space="preserve">Predictive constraints and safe backup under stated uncertainty assumptions</w:t>
            </w:r>
          </w:p>
        </w:tc>
        <w:tc>
          <w:tcPr/>
          <w:p>
            <w:pPr>
              <w:pStyle w:val="Compact"/>
              <w:jc w:val="left"/>
            </w:pPr>
            <w:r>
              <w:t xml:space="preserve">Nonlinear constrained systems; certificate differs from sampled ranking</w:t>
            </w:r>
          </w:p>
        </w:tc>
      </w:tr>
      <w:tr>
        <w:tc>
          <w:tcPr/>
          <w:p>
            <w:pPr>
              <w:pStyle w:val="Compact"/>
              <w:jc w:val="left"/>
            </w:pPr>
            <w:r>
              <w:t xml:space="preserve">Racing PSF [6] (2021)</w:t>
            </w:r>
          </w:p>
        </w:tc>
        <w:tc>
          <w:tcPr/>
          <w:p>
            <w:pPr>
              <w:pStyle w:val="Compact"/>
              <w:jc w:val="left"/>
            </w:pPr>
            <w:r>
              <w:t xml:space="preserve">State-feedback racing control</w:t>
            </w:r>
          </w:p>
        </w:tc>
        <w:tc>
          <w:tcPr/>
          <w:p>
            <w:pPr>
              <w:pStyle w:val="Compact"/>
              <w:jc w:val="left"/>
            </w:pPr>
            <w:r>
              <w:t xml:space="preserve">Invariant terminal set; backup trajectories; track constraints</w:t>
            </w:r>
          </w:p>
        </w:tc>
        <w:tc>
          <w:tcPr/>
          <w:p>
            <w:pPr>
              <w:pStyle w:val="Compact"/>
              <w:jc w:val="left"/>
            </w:pPr>
            <w:r>
              <w:t xml:space="preserve">Physical miniature vehicle; no matched traffic/FIFO experiment</w:t>
            </w:r>
          </w:p>
        </w:tc>
      </w:tr>
      <w:tr>
        <w:tc>
          <w:tcPr/>
          <w:p>
            <w:pPr>
              <w:pStyle w:val="Compact"/>
              <w:jc w:val="left"/>
            </w:pPr>
            <w:r>
              <w:t xml:space="preserve">Delay-aware tube MPC [1] (2022 preprint)</w:t>
            </w:r>
          </w:p>
        </w:tc>
        <w:tc>
          <w:tcPr/>
          <w:p>
            <w:pPr>
              <w:pStyle w:val="Compact"/>
              <w:jc w:val="left"/>
            </w:pPr>
            <w:r>
              <w:t xml:space="preserve">Estimated computation/processing delay; steering dynamics</w:t>
            </w:r>
          </w:p>
        </w:tc>
        <w:tc>
          <w:tcPr/>
          <w:p>
            <w:pPr>
              <w:pStyle w:val="Compact"/>
              <w:jc w:val="left"/>
            </w:pPr>
            <w:r>
              <w:t xml:space="preserve">Adaptive delay estimator and robust tube MPC</w:t>
            </w:r>
          </w:p>
        </w:tc>
        <w:tc>
          <w:tcPr/>
          <w:p>
            <w:pPr>
              <w:pStyle w:val="Compact"/>
              <w:jc w:val="left"/>
            </w:pPr>
            <w:r>
              <w:t xml:space="preserve">Driving/racing; richer delay model than a known queue</w:t>
            </w:r>
          </w:p>
        </w:tc>
      </w:tr>
      <w:tr>
        <w:tc>
          <w:tcPr/>
          <w:p>
            <w:pPr>
              <w:pStyle w:val="Compact"/>
              <w:jc w:val="left"/>
            </w:pPr>
            <w:r>
              <w:t xml:space="preserve">Delayed shielding [9] (2023)</w:t>
            </w:r>
          </w:p>
        </w:tc>
        <w:tc>
          <w:tcPr/>
          <w:p>
            <w:pPr>
              <w:pStyle w:val="Compact"/>
              <w:jc w:val="left"/>
            </w:pPr>
            <w:r>
              <w:t xml:space="preserve">Worst-case bounded observation delay</w:t>
            </w:r>
          </w:p>
        </w:tc>
        <w:tc>
          <w:tcPr/>
          <w:p>
            <w:pPr>
              <w:pStyle w:val="Compact"/>
              <w:jc w:val="left"/>
            </w:pPr>
            <w:r>
              <w:t xml:space="preserve">Safety-game synthesis and delay-resilient winning strategies</w:t>
            </w:r>
          </w:p>
        </w:tc>
        <w:tc>
          <w:tcPr/>
          <w:p>
            <w:pPr>
              <w:pStyle w:val="Compact"/>
              <w:jc w:val="left"/>
            </w:pPr>
            <w:r>
              <w:t xml:space="preserve">CARLA and gridworld; discrete formal abstraction</w:t>
            </w:r>
          </w:p>
        </w:tc>
      </w:tr>
      <w:tr>
        <w:tc>
          <w:tcPr/>
          <w:p>
            <w:pPr>
              <w:pStyle w:val="Compact"/>
              <w:jc w:val="left"/>
            </w:pPr>
            <w:r>
              <w:t xml:space="preserve">Signal-delay RL [10] (2024); DFBT [11] (2025)</w:t>
            </w:r>
          </w:p>
        </w:tc>
        <w:tc>
          <w:tcPr/>
          <w:p>
            <w:pPr>
              <w:pStyle w:val="Compact"/>
              <w:jc w:val="left"/>
            </w:pPr>
            <w:r>
              <w:t xml:space="preserve">Delayed observations / delayed RL information</w:t>
            </w:r>
          </w:p>
        </w:tc>
        <w:tc>
          <w:tcPr/>
          <w:p>
            <w:pPr>
              <w:pStyle w:val="Compact"/>
              <w:jc w:val="left"/>
            </w:pPr>
            <w:r>
              <w:t xml:space="preserve">Delay-aware representation/training or belief forecasting</w:t>
            </w:r>
          </w:p>
        </w:tc>
        <w:tc>
          <w:tcPr/>
          <w:p>
            <w:pPr>
              <w:pStyle w:val="Compact"/>
              <w:jc w:val="left"/>
            </w:pPr>
            <w:r>
              <w:t xml:space="preserve">Continuous robotic control; not a matched driving safety comparison</w:t>
            </w:r>
          </w:p>
        </w:tc>
      </w:tr>
      <w:tr>
        <w:tc>
          <w:tcPr/>
          <w:p>
            <w:pPr>
              <w:pStyle w:val="Compact"/>
              <w:jc w:val="left"/>
            </w:pPr>
            <w:r>
              <w:t xml:space="preserve">DAROM [13] (2026 version)</w:t>
            </w:r>
          </w:p>
        </w:tc>
        <w:tc>
          <w:tcPr/>
          <w:p>
            <w:pPr>
              <w:pStyle w:val="Compact"/>
              <w:jc w:val="left"/>
            </w:pPr>
            <w:r>
              <w:t xml:space="preserve">Stochastic V2I observation delay</w:t>
            </w:r>
          </w:p>
        </w:tc>
        <w:tc>
          <w:tcPr/>
          <w:p>
            <w:pPr>
              <w:pStyle w:val="Compact"/>
              <w:jc w:val="left"/>
            </w:pPr>
            <w:r>
              <w:t xml:space="preserve">Learned encoder plus stopping-distance intervention</w:t>
            </w:r>
          </w:p>
        </w:tc>
        <w:tc>
          <w:tcPr/>
          <w:p>
            <w:pPr>
              <w:pStyle w:val="Compact"/>
              <w:jc w:val="left"/>
            </w:pPr>
            <w:r>
              <w:t xml:space="preserve">SUMO/NGSIM-based merging; task success differs from corridor completion</w:t>
            </w:r>
          </w:p>
        </w:tc>
      </w:tr>
      <w:tr>
        <w:tc>
          <w:tcPr/>
          <w:p>
            <w:pPr>
              <w:pStyle w:val="Compact"/>
              <w:jc w:val="left"/>
            </w:pPr>
            <w:r>
              <w:t xml:space="preserve">LANS-RISK (this work)</w:t>
            </w:r>
          </w:p>
        </w:tc>
        <w:tc>
          <w:tcPr/>
          <w:p>
            <w:pPr>
              <w:pStyle w:val="Compact"/>
              <w:jc w:val="left"/>
            </w:pPr>
            <w:r>
              <w:t xml:space="preserve">Known physical FIFO, 0–1,000 ms</w:t>
            </w:r>
          </w:p>
        </w:tc>
        <w:tc>
          <w:tcPr/>
          <w:p>
            <w:pPr>
              <w:pStyle w:val="Compact"/>
              <w:jc w:val="left"/>
            </w:pPr>
            <w:r>
              <w:t xml:space="preserve">Queue rollout, frozen PPO prior, retained plans, lexicographic forecast ranking; no certificate</w:t>
            </w:r>
          </w:p>
        </w:tc>
        <w:tc>
          <w:tcPr/>
          <w:p>
            <w:pPr>
              <w:pStyle w:val="Compact"/>
              <w:jc w:val="left"/>
            </w:pPr>
            <w:r>
              <w:t xml:space="preserve">Four synthetic scenarios; paired main confirmation and component removals</w:t>
            </w:r>
          </w:p>
        </w:tc>
      </w:tr>
    </w:tbl>
    <w:bookmarkEnd w:id="23"/>
    <w:bookmarkEnd w:id="24"/>
    <w:bookmarkEnd w:id="25"/>
    <w:bookmarkStart w:id="32" w:name="problem-formulation-and-delay-model"/>
    <w:p>
      <w:pPr>
        <w:pStyle w:val="Heading1"/>
      </w:pPr>
      <w:r>
        <w:t xml:space="preserve">Problem Formulation and Delay Model</w:t>
      </w:r>
    </w:p>
    <w:bookmarkStart w:id="26" w:name="state-commands-and-reference-geometry"/>
    <w:p>
      <w:pPr>
        <w:pStyle w:val="Heading2"/>
      </w:pPr>
      <w:r>
        <w:t xml:space="preserve">State, Commands, and Reference Geometry</w:t>
      </w:r>
    </w:p>
    <w:p>
      <w:pPr>
        <w:pStyle w:val="FirstParagraph"/>
      </w:pPr>
      <w:r>
        <w:t xml:space="preserve">At control time</w:t>
      </w:r>
      <w:r>
        <w:t xml:space="preserve"> </w:t>
      </w:r>
      <m:oMath>
        <m:r>
          <m:t>t</m:t>
        </m:r>
      </m:oMath>
      <w:r>
        <w:t xml:space="preserve">, the ego state is</w:t>
      </w:r>
      <w:r>
        <w:t xml:space="preserve"> </w:t>
      </w:r>
      <m:oMath>
        <m:sSub>
          <m:e>
            <m:r>
              <m:t>x</m:t>
            </m:r>
          </m:e>
          <m:sub>
            <m:r>
              <m:t>t</m:t>
            </m:r>
          </m:sub>
        </m:sSub>
        <m:r>
          <m:rPr>
            <m:sty m:val="p"/>
          </m:rPr>
          <m:t>=</m:t>
        </m:r>
        <m:d>
          <m:dPr>
            <m:begChr m:val="("/>
            <m:endChr m:val=")"/>
            <m:sepChr m:val=""/>
            <m:grow/>
          </m:dPr>
          <m:e>
            <m:sSub>
              <m:e>
                <m:r>
                  <m:t>X</m:t>
                </m:r>
              </m:e>
              <m:sub>
                <m:r>
                  <m:t>t</m:t>
                </m:r>
              </m:sub>
            </m:sSub>
            <m:r>
              <m:rPr>
                <m:sty m:val="p"/>
              </m:rPr>
              <m:t>,</m:t>
            </m:r>
            <m:sSub>
              <m:e>
                <m:r>
                  <m:t>Y</m:t>
                </m:r>
              </m:e>
              <m:sub>
                <m:r>
                  <m:t>t</m:t>
                </m:r>
              </m:sub>
            </m:sSub>
            <m:r>
              <m:rPr>
                <m:sty m:val="p"/>
              </m:rPr>
              <m:t>,</m:t>
            </m:r>
            <m:sSub>
              <m:e>
                <m:r>
                  <m:t>ψ</m:t>
                </m:r>
              </m:e>
              <m:sub>
                <m:r>
                  <m:t>t</m:t>
                </m:r>
              </m:sub>
            </m:sSub>
            <m:r>
              <m:rPr>
                <m:sty m:val="p"/>
              </m:rPr>
              <m:t>,</m:t>
            </m:r>
            <m:sSub>
              <m:e>
                <m:r>
                  <m:t>v</m:t>
                </m:r>
              </m:e>
              <m:sub>
                <m:r>
                  <m:t>t</m:t>
                </m:r>
              </m:sub>
            </m:sSub>
          </m:e>
        </m:d>
      </m:oMath>
      <w:r>
        <w:t xml:space="preserve">, containing planar position, heading, and speed. Surrounding-vehicle observations are</w:t>
      </w:r>
      <w:r>
        <w:t xml:space="preserve"> </w:t>
      </w:r>
      <m:oMath>
        <m:sSub>
          <m:e>
            <m:r>
              <m:t>z</m:t>
            </m:r>
          </m:e>
          <m:sub>
            <m:r>
              <m:t>t</m:t>
            </m:r>
          </m:sub>
        </m:sSub>
        <m:r>
          <m:rPr>
            <m:sty m:val="p"/>
          </m:rPr>
          <m:t>=</m:t>
        </m:r>
        <m:r>
          <m:rPr>
            <m:sty m:val="p"/>
          </m:rPr>
          <m:t>{</m:t>
        </m:r>
        <m:d>
          <m:dPr>
            <m:begChr m:val="("/>
            <m:endChr m:val=")"/>
            <m:sepChr m:val=""/>
            <m:grow/>
          </m:dPr>
          <m:e>
            <m:sSubSup>
              <m:e>
                <m:r>
                  <m:t>X</m:t>
                </m:r>
              </m:e>
              <m:sub>
                <m:r>
                  <m:t>t</m:t>
                </m:r>
              </m:sub>
              <m:sup>
                <m:r>
                  <m:t>i</m:t>
                </m:r>
              </m:sup>
            </m:sSubSup>
            <m:r>
              <m:rPr>
                <m:sty m:val="p"/>
              </m:rPr>
              <m:t>,</m:t>
            </m:r>
            <m:sSubSup>
              <m:e>
                <m:r>
                  <m:t>Y</m:t>
                </m:r>
              </m:e>
              <m:sub>
                <m:r>
                  <m:t>t</m:t>
                </m:r>
              </m:sub>
              <m:sup>
                <m:r>
                  <m:t>i</m:t>
                </m:r>
              </m:sup>
            </m:sSubSup>
            <m:r>
              <m:rPr>
                <m:sty m:val="p"/>
              </m:rPr>
              <m:t>,</m:t>
            </m:r>
            <m:sSubSup>
              <m:e>
                <m:r>
                  <m:t>ψ</m:t>
                </m:r>
              </m:e>
              <m:sub>
                <m:r>
                  <m:t>t</m:t>
                </m:r>
              </m:sub>
              <m:sup>
                <m:r>
                  <m:t>i</m:t>
                </m:r>
              </m:sup>
            </m:sSubSup>
            <m:r>
              <m:rPr>
                <m:sty m:val="p"/>
              </m:rPr>
              <m:t>,</m:t>
            </m:r>
            <m:sSubSup>
              <m:e>
                <m:r>
                  <m:t>v</m:t>
                </m:r>
              </m:e>
              <m:sub>
                <m:r>
                  <m:t>t</m:t>
                </m:r>
              </m:sub>
              <m:sup>
                <m:r>
                  <m:t>i</m:t>
                </m:r>
              </m:sup>
            </m:sSubSup>
          </m:e>
        </m:d>
        <m:sSubSup>
          <m:e>
            <m:r>
              <m:rPr>
                <m:sty m:val="p"/>
              </m:rPr>
              <m:t>}</m:t>
            </m:r>
          </m:e>
          <m:sub>
            <m:r>
              <m:t>i</m:t>
            </m:r>
            <m:r>
              <m:rPr>
                <m:sty m:val="p"/>
              </m:rPr>
              <m:t>=</m:t>
            </m:r>
            <m:r>
              <m:t>1</m:t>
            </m:r>
          </m:sub>
          <m:sup>
            <m:sSub>
              <m:e>
                <m:r>
                  <m:t>n</m:t>
                </m:r>
              </m:e>
              <m:sub>
                <m:r>
                  <m:t>t</m:t>
                </m:r>
              </m:sub>
            </m:sSub>
          </m:sup>
        </m:sSubSup>
      </m:oMath>
      <w:r>
        <w:t xml:space="preserve">. The model-based supervisor receives structured state and the pending command queue, but not hidden NPC desired speeds. A frozen PPO policy [17] proposes</w:t>
      </w:r>
      <w:r>
        <w:t xml:space="preserve"> </w:t>
      </w:r>
      <m:oMath>
        <m:sSubSup>
          <m:e>
            <m:r>
              <m:t>u</m:t>
            </m:r>
          </m:e>
          <m:sub>
            <m:r>
              <m:t>t</m:t>
            </m:r>
          </m:sub>
          <m:sup>
            <m:r>
              <m:t>π</m:t>
            </m:r>
          </m:sup>
        </m:sSubSup>
        <m:r>
          <m:rPr>
            <m:sty m:val="p"/>
          </m:rPr>
          <m:t>=</m:t>
        </m:r>
        <m:sSub>
          <m:e>
            <m:r>
              <m:t>π</m:t>
            </m:r>
          </m:e>
          <m:sub>
            <m:r>
              <m:t>θ</m:t>
            </m:r>
          </m:sub>
        </m:sSub>
        <m:d>
          <m:dPr>
            <m:begChr m:val="("/>
            <m:endChr m:val=")"/>
            <m:sepChr m:val=""/>
            <m:grow/>
          </m:dPr>
          <m:e>
            <m:sSub>
              <m:e>
                <m:r>
                  <m:t>o</m:t>
                </m:r>
              </m:e>
              <m:sub>
                <m:r>
                  <m:t>t</m:t>
                </m:r>
              </m:sub>
            </m:sSub>
          </m:e>
        </m:d>
      </m:oMath>
      <w:r>
        <w:t xml:space="preserve"> </w:t>
      </w:r>
      <w:r>
        <w:t xml:space="preserve">from its policy observation</w:t>
      </w:r>
      <w:r>
        <w:t xml:space="preserve"> </w:t>
      </w:r>
      <m:oMath>
        <m:sSub>
          <m:e>
            <m:r>
              <m:t>o</m:t>
            </m:r>
          </m:e>
          <m:sub>
            <m:r>
              <m:t>t</m:t>
            </m:r>
          </m:sub>
        </m:sSub>
      </m:oMath>
      <w:r>
        <w:t xml:space="preserve">. No actor parameters change during confirmation. The legacy 18-dimensional</w:t>
      </w:r>
      <w:r>
        <w:t xml:space="preserve"> </w:t>
      </w:r>
      <m:oMath>
        <m:sSub>
          <m:e>
            <m:r>
              <m:t>o</m:t>
            </m:r>
          </m:e>
          <m:sub>
            <m:r>
              <m:t>t</m:t>
            </m:r>
          </m:sub>
        </m:sSub>
      </m:oMath>
      <w:r>
        <w:t xml:space="preserve"> </w:t>
      </w:r>
      <w:r>
        <w:t xml:space="preserve">contains clipped tracking errors, a critical-NPC summary, synthetic latency/gain context and LQR advice; it omits the full NPC state and FIFO. Its synthetic timing feature is not the imposed command delay. The frozen actor is deployed directly with the inherited fusion gain forced to one and the legacy safety layer disabled. Thus PPO-only is a transferred-policy baseline with a different information representation, not an information-matched planner.</w:t>
      </w:r>
    </w:p>
    <w:p>
      <w:pPr>
        <w:pStyle w:val="BodyText"/>
      </w:pPr>
      <w:r>
        <w:t xml:space="preserve">The normalized command</w:t>
      </w:r>
      <w:r>
        <w:t xml:space="preserve"> </w:t>
      </w:r>
      <m:oMath>
        <m:sSub>
          <m:e>
            <m:r>
              <m:t>u</m:t>
            </m:r>
          </m:e>
          <m:sub>
            <m:r>
              <m:t>t</m:t>
            </m:r>
          </m:sub>
        </m:sSub>
        <m:r>
          <m:rPr>
            <m:sty m:val="p"/>
          </m:rPr>
          <m:t>=</m:t>
        </m:r>
        <m:d>
          <m:dPr>
            <m:begChr m:val="("/>
            <m:endChr m:val=")"/>
            <m:sepChr m:val=""/>
            <m:grow/>
          </m:dPr>
          <m:e>
            <m:sSub>
              <m:e>
                <m:r>
                  <m:t>η</m:t>
                </m:r>
              </m:e>
              <m:sub>
                <m:r>
                  <m:t>t</m:t>
                </m:r>
              </m:sub>
            </m:sSub>
            <m:r>
              <m:rPr>
                <m:sty m:val="p"/>
              </m:rPr>
              <m:t>,</m:t>
            </m:r>
            <m:sSub>
              <m:e>
                <m:r>
                  <m:t>α</m:t>
                </m:r>
              </m:e>
              <m:sub>
                <m:r>
                  <m:t>t</m:t>
                </m:r>
              </m:sub>
            </m:sSub>
          </m:e>
        </m:d>
        <m:r>
          <m:rPr>
            <m:sty m:val="p"/>
          </m:rPr>
          <m:t>∈</m:t>
        </m:r>
        <m:sSup>
          <m:e>
            <m:d>
              <m:dPr>
                <m:begChr m:val="["/>
                <m:endChr m:val="]"/>
                <m:sepChr m:val=""/>
                <m:grow/>
              </m:dPr>
              <m:e>
                <m:r>
                  <m:rPr>
                    <m:sty m:val="p"/>
                  </m:rPr>
                  <m:t>−</m:t>
                </m:r>
                <m:r>
                  <m:t>1</m:t>
                </m:r>
                <m:r>
                  <m:rPr>
                    <m:sty m:val="p"/>
                  </m:rPr>
                  <m:t>,</m:t>
                </m:r>
                <m:r>
                  <m:t>1</m:t>
                </m:r>
              </m:e>
            </m:d>
          </m:e>
          <m:sup>
            <m:r>
              <m:t>2</m:t>
            </m:r>
          </m:sup>
        </m:sSup>
      </m:oMath>
      <w:r>
        <w:t xml:space="preserve"> </w:t>
      </w:r>
      <w:r>
        <w:t xml:space="preserve">scales to steering angle</w:t>
      </w:r>
      <w:r>
        <w:t xml:space="preserve"> </w:t>
      </w:r>
      <m:oMath>
        <m:sSub>
          <m:e>
            <m:r>
              <m:t>δ</m:t>
            </m:r>
          </m:e>
          <m:sub>
            <m:r>
              <m:t>t</m:t>
            </m:r>
          </m:sub>
        </m:sSub>
        <m:r>
          <m:rPr>
            <m:sty m:val="p"/>
          </m:rPr>
          <m:t>=</m:t>
        </m:r>
        <m:r>
          <m:t>0.5</m:t>
        </m:r>
        <m:sSub>
          <m:e>
            <m:r>
              <m:t>η</m:t>
            </m:r>
          </m:e>
          <m:sub>
            <m:r>
              <m:t>t</m:t>
            </m:r>
          </m:sub>
        </m:sSub>
      </m:oMath>
      <w:r>
        <w:t xml:space="preserve"> </w:t>
      </w:r>
      <w:r>
        <w:t xml:space="preserve">rad and acceleration</w:t>
      </w:r>
      <w:r>
        <w:t xml:space="preserve"> </w:t>
      </w:r>
      <m:oMath>
        <m:sSub>
          <m:e>
            <m:r>
              <m:t>a</m:t>
            </m:r>
          </m:e>
          <m:sub>
            <m:r>
              <m:t>t</m:t>
            </m:r>
          </m:sub>
        </m:sSub>
        <m:r>
          <m:rPr>
            <m:sty m:val="p"/>
          </m:rPr>
          <m:t>=</m:t>
        </m:r>
        <m:r>
          <m:t>3.5</m:t>
        </m:r>
        <m:sSub>
          <m:e>
            <m:r>
              <m:t>α</m:t>
            </m:r>
          </m:e>
          <m:sub>
            <m:r>
              <m:t>t</m:t>
            </m:r>
          </m:sub>
        </m:sSub>
      </m:oMath>
      <w:r>
        <w:t xml:space="preserve"> </w:t>
      </w:r>
      <w:r>
        <w:t xml:space="preserve">m/s</w:t>
      </w:r>
      <m:oMath>
        <m:sSup>
          <m:e>
            <m:r>
              <m:t>​</m:t>
            </m:r>
          </m:e>
          <m:sup>
            <m:r>
              <m:t>2</m:t>
            </m:r>
          </m:sup>
        </m:sSup>
      </m:oMath>
      <w:r>
        <w:t xml:space="preserve">. The prediction model uses wheelbase</w:t>
      </w:r>
      <w:r>
        <w:t xml:space="preserve"> </w:t>
      </w:r>
      <m:oMath>
        <m:r>
          <m:t>L</m:t>
        </m:r>
        <m:r>
          <m:rPr>
            <m:sty m:val="p"/>
          </m:rPr>
          <m:t>=</m:t>
        </m:r>
        <m:r>
          <m:t>2.6</m:t>
        </m:r>
      </m:oMath>
      <w:r>
        <w:t xml:space="preserve"> m and step</w:t>
      </w:r>
      <w:r>
        <w:t xml:space="preserve"> </w:t>
      </w:r>
      <m:oMath>
        <m:r>
          <m:t>Δ</m:t>
        </m:r>
        <m:r>
          <m:t>t</m:t>
        </m:r>
        <m:r>
          <m:rPr>
            <m:sty m:val="p"/>
          </m:rPr>
          <m:t>=</m:t>
        </m:r>
        <m:r>
          <m:t>0.1</m:t>
        </m:r>
      </m:oMath>
      <w:r>
        <w:t xml:space="preserve"> s. For an applied command</w:t>
      </w:r>
      <w:r>
        <w:t xml:space="preserve"> </w:t>
      </w:r>
      <m:oMath>
        <m:d>
          <m:dPr>
            <m:begChr m:val="("/>
            <m:endChr m:val=")"/>
            <m:sepChr m:val=""/>
            <m:grow/>
          </m:dPr>
          <m:e>
            <m:r>
              <m:t>η</m:t>
            </m:r>
            <m:r>
              <m:rPr>
                <m:sty m:val="p"/>
              </m:rPr>
              <m:t>,</m:t>
            </m:r>
            <m:r>
              <m:t>α</m:t>
            </m:r>
          </m:e>
        </m:d>
      </m:oMath>
      <w:r>
        <w:t xml:space="preserve">, its explicit update is</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rPr>
                        <m:sty m:val="p"/>
                      </m:rPr>
                      <m:t>+</m:t>
                    </m:r>
                  </m:sup>
                </m:sSup>
              </m:e>
              <m:e>
                <m:r>
                  <m:rPr>
                    <m:sty m:val="p"/>
                  </m:rPr>
                  <m:t>=</m:t>
                </m:r>
                <m:r>
                  <m:rPr>
                    <m:sty m:val="p"/>
                  </m:rPr>
                  <m:t>clip</m:t>
                </m:r>
                <m:d>
                  <m:dPr>
                    <m:begChr m:val="("/>
                    <m:endChr m:val=")"/>
                    <m:sepChr m:val=""/>
                    <m:grow/>
                  </m:dPr>
                  <m:e>
                    <m:r>
                      <m:t>v</m:t>
                    </m:r>
                    <m:r>
                      <m:rPr>
                        <m:sty m:val="p"/>
                      </m:rPr>
                      <m:t>+</m:t>
                    </m:r>
                    <m:r>
                      <m:t>3.5</m:t>
                    </m:r>
                    <m:r>
                      <m:t>α</m:t>
                    </m:r>
                    <m:r>
                      <m:t>Δ</m:t>
                    </m:r>
                    <m:r>
                      <m:t>t</m:t>
                    </m:r>
                    <m:r>
                      <m:rPr>
                        <m:sty m:val="p"/>
                      </m:rPr>
                      <m:t>,</m:t>
                    </m:r>
                    <m:r>
                      <m:t>0</m:t>
                    </m:r>
                    <m:r>
                      <m:rPr>
                        <m:sty m:val="p"/>
                      </m:rPr>
                      <m:t>,</m:t>
                    </m:r>
                    <m:r>
                      <m:t>25</m:t>
                    </m:r>
                  </m:e>
                </m:d>
                <m:r>
                  <m:rPr>
                    <m:sty m:val="p"/>
                  </m:rPr>
                  <m:t>,</m:t>
                </m:r>
              </m:e>
            </m:mr>
            <m:mr>
              <m:e>
                <m:sSup>
                  <m:e>
                    <m:r>
                      <m:t>ψ</m:t>
                    </m:r>
                  </m:e>
                  <m:sup>
                    <m:r>
                      <m:rPr>
                        <m:sty m:val="p"/>
                      </m:rPr>
                      <m:t>+</m:t>
                    </m:r>
                  </m:sup>
                </m:sSup>
              </m:e>
              <m:e>
                <m:r>
                  <m:rPr>
                    <m:sty m:val="p"/>
                  </m:rPr>
                  <m:t>=</m:t>
                </m:r>
                <m:r>
                  <m:rPr>
                    <m:sty m:val="p"/>
                  </m:rPr>
                  <m:t>wrap</m:t>
                </m:r>
                <m:d>
                  <m:dPr>
                    <m:begChr m:val="("/>
                    <m:endChr m:val=")"/>
                    <m:sepChr m:val=""/>
                    <m:grow/>
                  </m:dPr>
                  <m:e>
                    <m:r>
                      <m:t>ψ</m:t>
                    </m:r>
                    <m:r>
                      <m:rPr>
                        <m:sty m:val="p"/>
                      </m:rPr>
                      <m:t>+</m:t>
                    </m:r>
                    <m:sSup>
                      <m:e>
                        <m:r>
                          <m:t>v</m:t>
                        </m:r>
                      </m:e>
                      <m:sup>
                        <m:r>
                          <m:rPr>
                            <m:sty m:val="p"/>
                          </m:rPr>
                          <m:t>+</m:t>
                        </m:r>
                      </m:sup>
                    </m:sSup>
                    <m:r>
                      <m:rPr>
                        <m:sty m:val="p"/>
                      </m:rPr>
                      <m:t>tan</m:t>
                    </m:r>
                    <m:d>
                      <m:dPr>
                        <m:begChr m:val="("/>
                        <m:endChr m:val=")"/>
                        <m:sepChr m:val=""/>
                        <m:grow/>
                      </m:dPr>
                      <m:e>
                        <m:r>
                          <m:t>0.5</m:t>
                        </m:r>
                        <m:r>
                          <m:t>η</m:t>
                        </m:r>
                      </m:e>
                    </m:d>
                    <m:r>
                      <m:t>Δ</m:t>
                    </m:r>
                    <m:r>
                      <m:t>t</m:t>
                    </m:r>
                    <m:r>
                      <m:rPr>
                        <m:sty m:val="p"/>
                      </m:rPr>
                      <m:t>/</m:t>
                    </m:r>
                    <m:r>
                      <m:t>L</m:t>
                    </m:r>
                  </m:e>
                </m:d>
                <m:r>
                  <m:rPr>
                    <m:sty m:val="p"/>
                  </m:rPr>
                  <m:t>,</m:t>
                </m:r>
              </m:e>
            </m:mr>
            <m:mr>
              <m:e>
                <m:sSup>
                  <m:e>
                    <m:r>
                      <m:t>X</m:t>
                    </m:r>
                  </m:e>
                  <m:sup>
                    <m:r>
                      <m:rPr>
                        <m:sty m:val="p"/>
                      </m:rPr>
                      <m:t>+</m:t>
                    </m:r>
                  </m:sup>
                </m:sSup>
              </m:e>
              <m:e>
                <m:r>
                  <m:rPr>
                    <m:sty m:val="p"/>
                  </m:rPr>
                  <m:t>=</m:t>
                </m:r>
                <m:r>
                  <m:t>X</m:t>
                </m:r>
                <m:r>
                  <m:rPr>
                    <m:sty m:val="p"/>
                  </m:rPr>
                  <m:t>+</m:t>
                </m:r>
                <m:sSup>
                  <m:e>
                    <m:r>
                      <m:t>v</m:t>
                    </m:r>
                  </m:e>
                  <m:sup>
                    <m:r>
                      <m:rPr>
                        <m:sty m:val="p"/>
                      </m:rPr>
                      <m:t>+</m:t>
                    </m:r>
                  </m:sup>
                </m:sSup>
                <m:r>
                  <m:rPr>
                    <m:sty m:val="p"/>
                  </m:rPr>
                  <m:t>cos</m:t>
                </m:r>
                <m:d>
                  <m:dPr>
                    <m:begChr m:val="("/>
                    <m:endChr m:val=")"/>
                    <m:sepChr m:val=""/>
                    <m:grow/>
                  </m:dPr>
                  <m:e>
                    <m:sSup>
                      <m:e>
                        <m:r>
                          <m:t>ψ</m:t>
                        </m:r>
                      </m:e>
                      <m:sup>
                        <m:r>
                          <m:rPr>
                            <m:sty m:val="p"/>
                          </m:rPr>
                          <m:t>+</m:t>
                        </m:r>
                      </m:sup>
                    </m:sSup>
                  </m:e>
                </m:d>
                <m:r>
                  <m:t>Δ</m:t>
                </m:r>
                <m:r>
                  <m:t>t</m:t>
                </m:r>
                <m:r>
                  <m:rPr>
                    <m:sty m:val="p"/>
                  </m:rPr>
                  <m:t>,</m:t>
                </m:r>
                <m:r>
                  <m:t> </m:t>
                </m:r>
                <m:sSup>
                  <m:e>
                    <m:r>
                      <m:t>Y</m:t>
                    </m:r>
                  </m:e>
                  <m:sup>
                    <m:r>
                      <m:rPr>
                        <m:sty m:val="p"/>
                      </m:rPr>
                      <m:t>+</m:t>
                    </m:r>
                  </m:sup>
                </m:sSup>
                <m:r>
                  <m:rPr>
                    <m:sty m:val="p"/>
                  </m:rPr>
                  <m:t>=</m:t>
                </m:r>
                <m:r>
                  <m:t>Y</m:t>
                </m:r>
                <m:r>
                  <m:rPr>
                    <m:sty m:val="p"/>
                  </m:rPr>
                  <m:t>+</m:t>
                </m:r>
                <m:sSup>
                  <m:e>
                    <m:r>
                      <m:t>v</m:t>
                    </m:r>
                  </m:e>
                  <m:sup>
                    <m:r>
                      <m:rPr>
                        <m:sty m:val="p"/>
                      </m:rPr>
                      <m:t>+</m:t>
                    </m:r>
                  </m:sup>
                </m:sSup>
                <m:r>
                  <m:rPr>
                    <m:sty m:val="p"/>
                  </m:rPr>
                  <m:t>sin</m:t>
                </m:r>
                <m:d>
                  <m:dPr>
                    <m:begChr m:val="("/>
                    <m:endChr m:val=")"/>
                    <m:sepChr m:val=""/>
                    <m:grow/>
                  </m:dPr>
                  <m:e>
                    <m:sSup>
                      <m:e>
                        <m:r>
                          <m:t>ψ</m:t>
                        </m:r>
                      </m:e>
                      <m:sup>
                        <m:r>
                          <m:rPr>
                            <m:sty m:val="p"/>
                          </m:rPr>
                          <m:t>+</m:t>
                        </m:r>
                      </m:sup>
                    </m:sSup>
                  </m:e>
                </m:d>
                <m:r>
                  <m:t>Δ</m:t>
                </m:r>
                <m:r>
                  <m:t>t</m:t>
                </m:r>
                <m:r>
                  <m:rPr>
                    <m:sty m:val="p"/>
                  </m:rPr>
                  <m:t>.</m:t>
                </m:r>
              </m:e>
            </m:mr>
          </m:m>
        </m:oMath>
      </m:oMathPara>
    </w:p>
    <w:p>
      <w:pPr>
        <w:pStyle w:val="FirstParagraph"/>
      </w:pPr>
      <w:r>
        <w:t xml:space="preserve">These equations describe the implemented ego rollout. The synthetic plant also evolves interacting NPCs, whose true future actions need not match the predictor.</w:t>
      </w:r>
    </w:p>
    <w:p>
      <w:pPr>
        <w:pStyle w:val="BodyText"/>
      </w:pPr>
      <w:r>
        <w:t xml:space="preserve">Highway and Intersection use a straight reference. Merge uses a quintic lateral transition,</w:t>
      </w:r>
      <w:r>
        <w:t xml:space="preserve"> </w:t>
      </w:r>
      <m:oMath>
        <m:sSub>
          <m:e>
            <m:r>
              <m:t>Y</m:t>
            </m:r>
          </m:e>
          <m:sub>
            <m:r>
              <m:t>r</m:t>
            </m:r>
          </m:sub>
        </m:sSub>
        <m:r>
          <m:rPr>
            <m:sty m:val="p"/>
          </m:rPr>
          <m:t>=</m:t>
        </m:r>
        <m:r>
          <m:rPr>
            <m:sty m:val="p"/>
          </m:rPr>
          <m:t>−</m:t>
        </m:r>
        <m:r>
          <m:t>3.5</m:t>
        </m:r>
        <m:r>
          <m:rPr>
            <m:sty m:val="p"/>
          </m:rPr>
          <m:t>+</m:t>
        </m:r>
        <m:r>
          <m:t>3.5</m:t>
        </m:r>
        <m:d>
          <m:dPr>
            <m:begChr m:val="("/>
            <m:endChr m:val=")"/>
            <m:sepChr m:val=""/>
            <m:grow/>
          </m:dPr>
          <m:e>
            <m:r>
              <m:t>10</m:t>
            </m:r>
            <m:sSup>
              <m:e>
                <m:r>
                  <m:t>ξ</m:t>
                </m:r>
              </m:e>
              <m:sup>
                <m:r>
                  <m:t>3</m:t>
                </m:r>
              </m:sup>
            </m:sSup>
            <m:r>
              <m:rPr>
                <m:sty m:val="p"/>
              </m:rPr>
              <m:t>−</m:t>
            </m:r>
            <m:r>
              <m:t>15</m:t>
            </m:r>
            <m:sSup>
              <m:e>
                <m:r>
                  <m:t>ξ</m:t>
                </m:r>
              </m:e>
              <m:sup>
                <m:r>
                  <m:t>4</m:t>
                </m:r>
              </m:sup>
            </m:sSup>
            <m:r>
              <m:rPr>
                <m:sty m:val="p"/>
              </m:rPr>
              <m:t>+</m:t>
            </m:r>
            <m:r>
              <m:t>6</m:t>
            </m:r>
            <m:sSup>
              <m:e>
                <m:r>
                  <m:t>ξ</m:t>
                </m:r>
              </m:e>
              <m:sup>
                <m:r>
                  <m:t>5</m:t>
                </m:r>
              </m:sup>
            </m:sSup>
          </m:e>
        </m:d>
      </m:oMath>
      <w:r>
        <w:t xml:space="preserve"> </w:t>
      </w:r>
      <w:r>
        <w:t xml:space="preserve">with</w:t>
      </w:r>
      <w:r>
        <w:t xml:space="preserve"> </w:t>
      </w:r>
      <m:oMath>
        <m:r>
          <m:t>ξ</m:t>
        </m:r>
        <m:r>
          <m:rPr>
            <m:sty m:val="p"/>
          </m:rPr>
          <m:t>=</m:t>
        </m:r>
        <m:r>
          <m:rPr>
            <m:sty m:val="p"/>
          </m:rPr>
          <m:t>clip</m:t>
        </m:r>
        <m:d>
          <m:dPr>
            <m:begChr m:val="("/>
            <m:endChr m:val=")"/>
            <m:sepChr m:val=""/>
            <m:grow/>
          </m:dPr>
          <m:e>
            <m:r>
              <m:t>X</m:t>
            </m:r>
            <m:r>
              <m:rPr>
                <m:sty m:val="p"/>
              </m:rPr>
              <m:t>/</m:t>
            </m:r>
            <m:r>
              <m:t>25</m:t>
            </m:r>
            <m:r>
              <m:rPr>
                <m:sty m:val="p"/>
              </m:rPr>
              <m:t>,</m:t>
            </m:r>
            <m:r>
              <m:t>0</m:t>
            </m:r>
            <m:r>
              <m:rPr>
                <m:sty m:val="p"/>
              </m:rPr>
              <m:t>,</m:t>
            </m:r>
            <m:r>
              <m:t>1</m:t>
            </m:r>
          </m:e>
        </m:d>
      </m:oMath>
      <w:r>
        <w:t xml:space="preserve">. Roundabout uses a circle of radius 8 m. Let</w:t>
      </w:r>
      <w:r>
        <w:t xml:space="preserve"> </w:t>
      </w:r>
      <m:oMath>
        <m:sSub>
          <m:e>
            <m:r>
              <m:t>e</m:t>
            </m:r>
          </m:e>
          <m:sub>
            <m:r>
              <m:t>y</m:t>
            </m:r>
          </m:sub>
        </m:sSub>
      </m:oMath>
      <w:r>
        <w:t xml:space="preserve">,</w:t>
      </w:r>
      <w:r>
        <w:t xml:space="preserve"> </w:t>
      </w:r>
      <m:oMath>
        <m:sSub>
          <m:e>
            <m:r>
              <m:t>e</m:t>
            </m:r>
          </m:e>
          <m:sub>
            <m:r>
              <m:t>ψ</m:t>
            </m:r>
          </m:sub>
        </m:sSub>
      </m:oMath>
      <w:r>
        <w:t xml:space="preserve"> </w:t>
      </w:r>
      <w:r>
        <w:t xml:space="preserve">and</w:t>
      </w:r>
      <w:r>
        <w:t xml:space="preserve"> </w:t>
      </w:r>
      <m:oMath>
        <m:r>
          <m:t>κ</m:t>
        </m:r>
      </m:oMath>
      <w:r>
        <w:t xml:space="preserve"> </w:t>
      </w:r>
      <w:r>
        <w:t xml:space="preserve">denote the implemented lateral error, wrapped reference-heading error and reference curvature. The geometric steering prior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g</m:t>
                    </m:r>
                  </m:sub>
                </m:sSub>
                <m:d>
                  <m:dPr>
                    <m:begChr m:val="("/>
                    <m:endChr m:val=")"/>
                    <m:sepChr m:val=""/>
                    <m:grow/>
                  </m:dPr>
                  <m:e>
                    <m:r>
                      <m:t>x</m:t>
                    </m:r>
                  </m:e>
                </m:d>
              </m:e>
              <m:e>
                <m:r>
                  <m:rPr>
                    <m:sty m:val="p"/>
                  </m:rPr>
                  <m:t>=</m:t>
                </m:r>
                <m:r>
                  <m:rPr>
                    <m:sty m:val="p"/>
                  </m:rPr>
                  <m:t>arctan</m:t>
                </m:r>
                <m:d>
                  <m:dPr>
                    <m:begChr m:val="("/>
                    <m:endChr m:val=")"/>
                    <m:sepChr m:val=""/>
                    <m:grow/>
                  </m:dPr>
                  <m:e>
                    <m:r>
                      <m:t>L</m:t>
                    </m:r>
                    <m:r>
                      <m:t>κ</m:t>
                    </m:r>
                  </m:e>
                </m:d>
                <m:r>
                  <m:rPr>
                    <m:sty m:val="p"/>
                  </m:rPr>
                  <m:t>−</m:t>
                </m:r>
                <m:r>
                  <m:t>0.4</m:t>
                </m:r>
                <m:sSub>
                  <m:e>
                    <m:r>
                      <m:t>e</m:t>
                    </m:r>
                  </m:e>
                  <m:sub>
                    <m:r>
                      <m:t>y</m:t>
                    </m:r>
                  </m:sub>
                </m:sSub>
                <m:r>
                  <m:rPr>
                    <m:sty m:val="p"/>
                  </m:rPr>
                  <m:t>−</m:t>
                </m:r>
                <m:r>
                  <m:t>1.2</m:t>
                </m:r>
                <m:d>
                  <m:dPr>
                    <m:begChr m:val="("/>
                    <m:endChr m:val=")"/>
                    <m:sepChr m:val=""/>
                    <m:grow/>
                  </m:dPr>
                  <m:e>
                    <m:sSub>
                      <m:e>
                        <m:r>
                          <m:t>e</m:t>
                        </m:r>
                      </m:e>
                      <m:sub>
                        <m:r>
                          <m:t>ψ</m:t>
                        </m:r>
                      </m:sub>
                    </m:sSub>
                    <m:r>
                      <m:rPr>
                        <m:sty m:val="p"/>
                      </m:rPr>
                      <m:t>+</m:t>
                    </m:r>
                    <m:r>
                      <m:t>0.05</m:t>
                    </m:r>
                    <m:r>
                      <m:t>v</m:t>
                    </m:r>
                    <m:r>
                      <m:t>κ</m:t>
                    </m:r>
                  </m:e>
                </m:d>
                <m:r>
                  <m:rPr>
                    <m:sty m:val="p"/>
                  </m:rPr>
                  <m:t>,</m:t>
                </m:r>
              </m:e>
            </m:mr>
            <m:mr>
              <m:e>
                <m:sSub>
                  <m:e>
                    <m:r>
                      <m:t>η</m:t>
                    </m:r>
                  </m:e>
                  <m:sub>
                    <m:r>
                      <m:t>g</m:t>
                    </m:r>
                  </m:sub>
                </m:sSub>
                <m:d>
                  <m:dPr>
                    <m:begChr m:val="("/>
                    <m:endChr m:val=")"/>
                    <m:sepChr m:val=""/>
                    <m:grow/>
                  </m:dPr>
                  <m:e>
                    <m:r>
                      <m:t>x</m:t>
                    </m:r>
                  </m:e>
                </m:d>
              </m:e>
              <m:e>
                <m:r>
                  <m:rPr>
                    <m:sty m:val="p"/>
                  </m:rPr>
                  <m:t>=</m:t>
                </m:r>
                <m:r>
                  <m:rPr>
                    <m:sty m:val="p"/>
                  </m:rPr>
                  <m:t>clip</m:t>
                </m:r>
                <m:d>
                  <m:dPr>
                    <m:begChr m:val="("/>
                    <m:endChr m:val=")"/>
                    <m:sepChr m:val=""/>
                    <m:grow/>
                  </m:dPr>
                  <m:e>
                    <m:sSub>
                      <m:e>
                        <m:r>
                          <m:t>δ</m:t>
                        </m:r>
                      </m:e>
                      <m:sub>
                        <m:r>
                          <m:t>g</m:t>
                        </m:r>
                      </m:sub>
                    </m:sSub>
                    <m:d>
                      <m:dPr>
                        <m:begChr m:val="("/>
                        <m:endChr m:val=")"/>
                        <m:sepChr m:val=""/>
                        <m:grow/>
                      </m:dPr>
                      <m:e>
                        <m:r>
                          <m:t>x</m:t>
                        </m:r>
                      </m:e>
                    </m:d>
                    <m:r>
                      <m:rPr>
                        <m:sty m:val="p"/>
                      </m:rPr>
                      <m:t>/</m:t>
                    </m:r>
                    <m:r>
                      <m:t>0.5</m:t>
                    </m:r>
                    <m:r>
                      <m:rPr>
                        <m:sty m:val="p"/>
                      </m:rPr>
                      <m:t>,</m:t>
                    </m:r>
                    <m:r>
                      <m:rPr>
                        <m:sty m:val="p"/>
                      </m:rPr>
                      <m:t>−</m:t>
                    </m:r>
                    <m:r>
                      <m:t>1</m:t>
                    </m:r>
                    <m:r>
                      <m:rPr>
                        <m:sty m:val="p"/>
                      </m:rPr>
                      <m:t>,</m:t>
                    </m:r>
                    <m:r>
                      <m:t>1</m:t>
                    </m:r>
                  </m:e>
                </m:d>
                <m:r>
                  <m:rPr>
                    <m:sty m:val="p"/>
                  </m:rPr>
                  <m:t>.</m:t>
                </m:r>
              </m:e>
            </m:mr>
          </m:m>
        </m:oMath>
      </m:oMathPara>
    </w:p>
    <w:p>
      <w:pPr>
        <w:pStyle w:val="FirstParagraph"/>
      </w:pPr>
      <w:r>
        <w:t xml:space="preserve">The lateral error is</w:t>
      </w:r>
      <w:r>
        <w:t xml:space="preserve"> </w:t>
      </w:r>
      <m:oMath>
        <m:r>
          <m:t>Y</m:t>
        </m:r>
        <m:r>
          <m:rPr>
            <m:sty m:val="p"/>
          </m:rPr>
          <m:t>−</m:t>
        </m:r>
        <m:sSub>
          <m:e>
            <m:r>
              <m:t>Y</m:t>
            </m:r>
          </m:e>
          <m:sub>
            <m:r>
              <m:t>r</m:t>
            </m:r>
          </m:sub>
        </m:sSub>
        <m:d>
          <m:dPr>
            <m:begChr m:val="("/>
            <m:endChr m:val=")"/>
            <m:sepChr m:val=""/>
            <m:grow/>
          </m:dPr>
          <m:e>
            <m:r>
              <m:t>X</m:t>
            </m:r>
          </m:e>
        </m:d>
      </m:oMath>
      <w:r>
        <w:t xml:space="preserve"> </w:t>
      </w:r>
      <w:r>
        <w:t xml:space="preserve">on noncircular references and</w:t>
      </w:r>
      <w:r>
        <w:t xml:space="preserve"> </w:t>
      </w:r>
      <m:oMath>
        <m:r>
          <m:t>8</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on the circle.</w:t>
      </w:r>
    </w:p>
    <w:bookmarkEnd w:id="26"/>
    <w:bookmarkStart w:id="27" w:name="X7182164b8beffefef4c8e94148746650e0dd0b3"/>
    <w:p>
      <w:pPr>
        <w:pStyle w:val="Heading2"/>
      </w:pPr>
      <w:r>
        <w:t xml:space="preserve">Physical FIFO and Available Control Authority</w:t>
      </w:r>
    </w:p>
    <w:p>
      <w:pPr>
        <w:pStyle w:val="FirstParagraph"/>
      </w:pPr>
      <w:r>
        <w:t xml:space="preserve">For</w:t>
      </w:r>
      <w:r>
        <w:t xml:space="preserve"> </w:t>
      </w:r>
      <m:oMath>
        <m:r>
          <m:t>d</m:t>
        </m:r>
        <m:r>
          <m:rPr>
            <m:sty m:val="p"/>
          </m:rPr>
          <m:t>&gt;</m:t>
        </m:r>
        <m:r>
          <m:t>0</m:t>
        </m:r>
      </m:oMath>
      <w:r>
        <w:t xml:space="preserve">, write the commands awaiting execution as</w:t>
      </w:r>
      <w:r>
        <w:t xml:space="preserve"> </w:t>
      </w:r>
      <m:oMath>
        <m:sSub>
          <m:e>
            <m:r>
              <m:t>q</m:t>
            </m:r>
          </m:e>
          <m:sub>
            <m:r>
              <m:t>t</m:t>
            </m:r>
          </m:sub>
        </m:sSub>
        <m:r>
          <m:rPr>
            <m:sty m:val="p"/>
          </m:rPr>
          <m:t>=</m:t>
        </m:r>
        <m:d>
          <m:dPr>
            <m:begChr m:val="("/>
            <m:endChr m:val=")"/>
            <m:sepChr m:val=""/>
            <m:grow/>
          </m:dPr>
          <m:e>
            <m:sSubSup>
              <m:e>
                <m:r>
                  <m:t>q</m:t>
                </m:r>
              </m:e>
              <m:sub>
                <m:r>
                  <m:t>t</m:t>
                </m:r>
              </m:sub>
              <m:sup>
                <m:r>
                  <m:t>0</m:t>
                </m:r>
              </m:sup>
            </m:sSubSup>
            <m:r>
              <m:rPr>
                <m:sty m:val="p"/>
              </m:rPr>
              <m:t>,</m:t>
            </m:r>
            <m:r>
              <m:rPr>
                <m:sty m:val="p"/>
              </m:rPr>
              <m:t>…</m:t>
            </m:r>
            <m:r>
              <m:rPr>
                <m:sty m:val="p"/>
              </m:rPr>
              <m:t>,</m:t>
            </m:r>
            <m:sSubSup>
              <m:e>
                <m:r>
                  <m:t>q</m:t>
                </m:r>
              </m:e>
              <m:sub>
                <m:r>
                  <m:t>t</m:t>
                </m:r>
              </m:sub>
              <m:sup>
                <m:r>
                  <m:t>d</m:t>
                </m:r>
                <m:r>
                  <m:rPr>
                    <m:sty m:val="p"/>
                  </m:rPr>
                  <m:t>−</m:t>
                </m:r>
                <m:r>
                  <m:t>1</m:t>
                </m:r>
              </m:sup>
            </m:sSubSup>
          </m:e>
        </m:d>
      </m:oMath>
      <w:r>
        <w:t xml:space="preserve">, oldest first. The plant applies</w:t>
      </w:r>
      <w:r>
        <w:t xml:space="preserve"> </w:t>
      </w:r>
      <m:oMath>
        <m:sSubSup>
          <m:e>
            <m:r>
              <m:t>q</m:t>
            </m:r>
          </m:e>
          <m:sub>
            <m:r>
              <m:t>t</m:t>
            </m:r>
          </m:sub>
          <m:sup>
            <m:r>
              <m:t>0</m:t>
            </m:r>
          </m:sup>
        </m:sSubSup>
      </m:oMath>
      <w:r>
        <w:t xml:space="preserve"> </w:t>
      </w:r>
      <w:r>
        <w:t xml:space="preserve">and appends the newly selected</w:t>
      </w:r>
      <w:r>
        <w:t xml:space="preserve"> </w:t>
      </w:r>
      <m:oMath>
        <m:sSub>
          <m:e>
            <m:r>
              <m:t>u</m:t>
            </m:r>
          </m:e>
          <m:sub>
            <m:r>
              <m:t>t</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t</m:t>
                    </m:r>
                    <m:r>
                      <m:rPr>
                        <m:sty m:val="p"/>
                      </m:rPr>
                      <m:t>+</m:t>
                    </m:r>
                    <m:r>
                      <m:t>1</m:t>
                    </m:r>
                  </m:sub>
                </m:sSub>
              </m:e>
              <m:e>
                <m:r>
                  <m:rPr>
                    <m:sty m:val="p"/>
                  </m:rPr>
                  <m:t>=</m:t>
                </m:r>
                <m:r>
                  <m:t>F</m:t>
                </m:r>
                <m:d>
                  <m:dPr>
                    <m:begChr m:val="("/>
                    <m:endChr m:val=")"/>
                    <m:sepChr m:val=""/>
                    <m:grow/>
                  </m:dPr>
                  <m:e>
                    <m:sSub>
                      <m:e>
                        <m:r>
                          <m:t>x</m:t>
                        </m:r>
                      </m:e>
                      <m:sub>
                        <m:r>
                          <m:t>t</m:t>
                        </m:r>
                      </m:sub>
                    </m:sSub>
                    <m:r>
                      <m:rPr>
                        <m:sty m:val="p"/>
                      </m:rPr>
                      <m:t>,</m:t>
                    </m:r>
                    <m:sSub>
                      <m:e>
                        <m:r>
                          <m:t>z</m:t>
                        </m:r>
                      </m:e>
                      <m:sub>
                        <m:r>
                          <m:t>t</m:t>
                        </m:r>
                      </m:sub>
                    </m:sSub>
                    <m:r>
                      <m:rPr>
                        <m:sty m:val="p"/>
                      </m:rPr>
                      <m:t>,</m:t>
                    </m:r>
                    <m:sSubSup>
                      <m:e>
                        <m:r>
                          <m:t>q</m:t>
                        </m:r>
                      </m:e>
                      <m:sub>
                        <m:r>
                          <m:t>t</m:t>
                        </m:r>
                      </m:sub>
                      <m:sup>
                        <m:r>
                          <m:t>0</m:t>
                        </m:r>
                      </m:sup>
                    </m:sSubSup>
                  </m:e>
                </m:d>
                <m:r>
                  <m:rPr>
                    <m:sty m:val="p"/>
                  </m:rPr>
                  <m:t>,</m:t>
                </m:r>
              </m:e>
            </m:mr>
            <m:mr>
              <m:e>
                <m:sSub>
                  <m:e>
                    <m:r>
                      <m:t>q</m:t>
                    </m:r>
                  </m:e>
                  <m:sub>
                    <m:r>
                      <m:t>t</m:t>
                    </m:r>
                    <m:r>
                      <m:rPr>
                        <m:sty m:val="p"/>
                      </m:rPr>
                      <m:t>+</m:t>
                    </m:r>
                    <m:r>
                      <m:t>1</m:t>
                    </m:r>
                  </m:sub>
                </m:sSub>
              </m:e>
              <m:e>
                <m:r>
                  <m:rPr>
                    <m:sty m:val="p"/>
                  </m:rPr>
                  <m:t>=</m:t>
                </m:r>
                <m:d>
                  <m:dPr>
                    <m:begChr m:val="("/>
                    <m:endChr m:val=")"/>
                    <m:sepChr m:val=""/>
                    <m:grow/>
                  </m:dPr>
                  <m:e>
                    <m:sSubSup>
                      <m:e>
                        <m:r>
                          <m:t>q</m:t>
                        </m:r>
                      </m:e>
                      <m:sub>
                        <m:r>
                          <m:t>t</m:t>
                        </m:r>
                      </m:sub>
                      <m:sup>
                        <m:r>
                          <m:t>1</m:t>
                        </m:r>
                      </m:sup>
                    </m:sSubSup>
                    <m:r>
                      <m:rPr>
                        <m:sty m:val="p"/>
                      </m:rPr>
                      <m:t>,</m:t>
                    </m:r>
                    <m:r>
                      <m:rPr>
                        <m:sty m:val="p"/>
                      </m:rPr>
                      <m:t>…</m:t>
                    </m:r>
                    <m:r>
                      <m:rPr>
                        <m:sty m:val="p"/>
                      </m:rPr>
                      <m:t>,</m:t>
                    </m:r>
                    <m:sSubSup>
                      <m:e>
                        <m:r>
                          <m:t>q</m:t>
                        </m:r>
                      </m:e>
                      <m:sub>
                        <m:r>
                          <m:t>t</m:t>
                        </m:r>
                      </m:sub>
                      <m:sup>
                        <m:r>
                          <m:t>d</m:t>
                        </m:r>
                        <m:r>
                          <m:rPr>
                            <m:sty m:val="p"/>
                          </m:rPr>
                          <m:t>−</m:t>
                        </m:r>
                        <m:r>
                          <m:t>1</m:t>
                        </m:r>
                      </m:sup>
                    </m:sSubSup>
                    <m:r>
                      <m:rPr>
                        <m:sty m:val="p"/>
                      </m:rPr>
                      <m:t>,</m:t>
                    </m:r>
                    <m:sSub>
                      <m:e>
                        <m:r>
                          <m:t>u</m:t>
                        </m:r>
                      </m:e>
                      <m:sub>
                        <m:r>
                          <m:t>t</m:t>
                        </m:r>
                      </m:sub>
                    </m:sSub>
                  </m:e>
                </m:d>
                <m:r>
                  <m:rPr>
                    <m:sty m:val="p"/>
                  </m:rPr>
                  <m:t>.</m:t>
                </m:r>
              </m:e>
            </m:mr>
          </m:m>
        </m:oMath>
      </m:oMathPara>
    </w:p>
    <w:p>
      <w:pPr>
        <w:pStyle w:val="FirstParagraph"/>
      </w:pPr>
      <w:r>
        <w:t xml:space="preserve">For</w:t>
      </w:r>
      <w:r>
        <w:t xml:space="preserve"> </w:t>
      </w:r>
      <m:oMath>
        <m:r>
          <m:t>d</m:t>
        </m:r>
        <m:r>
          <m:rPr>
            <m:sty m:val="p"/>
          </m:rPr>
          <m:t>=</m:t>
        </m:r>
        <m:r>
          <m:t>0</m:t>
        </m:r>
      </m:oMath>
      <w:r>
        <w:t xml:space="preserve">,</w:t>
      </w:r>
      <w:r>
        <w:t xml:space="preserve"> </w:t>
      </w:r>
      <m:oMath>
        <m:sSub>
          <m:e>
            <m:r>
              <m:t>u</m:t>
            </m:r>
          </m:e>
          <m:sub>
            <m:r>
              <m:t>t</m:t>
            </m:r>
          </m:sub>
        </m:sSub>
      </m:oMath>
      <w:r>
        <w:t xml:space="preserve"> </w:t>
      </w:r>
      <w:r>
        <w:t xml:space="preserve">acts immediately. All methods use the same zero-filled initial FIFO, so the first</w:t>
      </w:r>
      <w:r>
        <w:t xml:space="preserve"> </w:t>
      </w:r>
      <m:oMath>
        <m:r>
          <m:t>d</m:t>
        </m:r>
      </m:oMath>
      <w:r>
        <w:t xml:space="preserve"> </w:t>
      </w:r>
      <w:r>
        <w:t xml:space="preserve">applied commands are initialization commands. The tested</w:t>
      </w:r>
      <w:r>
        <w:t xml:space="preserve"> </w:t>
      </w:r>
      <m:oMath>
        <m:r>
          <m:t>d</m:t>
        </m:r>
        <m:r>
          <m:rPr>
            <m:sty m:val="p"/>
          </m:rPr>
          <m:t>∈</m:t>
        </m:r>
        <m:r>
          <m:rPr>
            <m:sty m:val="p"/>
          </m:rPr>
          <m:t>{</m:t>
        </m:r>
        <m:r>
          <m:t>0</m:t>
        </m:r>
        <m:r>
          <m:rPr>
            <m:sty m:val="p"/>
          </m:rPr>
          <m:t>,</m:t>
        </m:r>
        <m:r>
          <m:t>2</m:t>
        </m:r>
        <m:r>
          <m:rPr>
            <m:sty m:val="p"/>
          </m:rPr>
          <m:t>,</m:t>
        </m:r>
        <m:r>
          <m:t>5</m:t>
        </m:r>
        <m:r>
          <m:rPr>
            <m:sty m:val="p"/>
          </m:rPr>
          <m:t>,</m:t>
        </m:r>
        <m:r>
          <m:t>7</m:t>
        </m:r>
        <m:r>
          <m:rPr>
            <m:sty m:val="p"/>
          </m:rPr>
          <m:t>,</m:t>
        </m:r>
        <m:r>
          <m:t>10</m:t>
        </m:r>
        <m:r>
          <m:rPr>
            <m:sty m:val="p"/>
          </m:rPr>
          <m:t>}</m:t>
        </m:r>
      </m:oMath>
      <w:r>
        <w:t xml:space="preserve"> </w:t>
      </w:r>
      <w:r>
        <w:t xml:space="preserve">corresponds to 0, 200, 500, 700, and 1,000 ms. A supervisory correction also enters the FIFO; it cannot replace already queued commands. This physical restriction differs from a delay-free safety override.</w:t>
      </w:r>
    </w:p>
    <w:bookmarkEnd w:id="27"/>
    <w:bookmarkStart w:id="31" w:name="X8572c840e2d49168b3746b63f8de886d810f8d1"/>
    <w:p>
      <w:pPr>
        <w:pStyle w:val="Heading2"/>
      </w:pPr>
      <w:r>
        <w:t xml:space="preserve">Queue Rollout and Observable Traffic Prediction</w:t>
      </w:r>
    </w:p>
    <w:p>
      <w:pPr>
        <w:pStyle w:val="FirstParagraph"/>
      </w:pPr>
      <w:r>
        <w:t xml:space="preserve">The observer estimates NPC acceleration from consecutive observed speeds:</w:t>
      </w:r>
    </w:p>
    <w:p>
      <w:pPr>
        <w:pStyle w:val="BodyText"/>
      </w:pPr>
      <m:oMathPara>
        <m:oMathParaPr>
          <m:jc m:val="center"/>
        </m:oMathParaPr>
        <m:oMath>
          <m:sSubSup>
            <m:e>
              <m:acc>
                <m:accPr>
                  <m:chr m:val="̂"/>
                </m:accPr>
                <m:e>
                  <m:r>
                    <m:t>a</m:t>
                  </m:r>
                </m:e>
              </m:acc>
            </m:e>
            <m:sub>
              <m:r>
                <m:t>t</m:t>
              </m:r>
            </m:sub>
            <m:sup>
              <m:r>
                <m:t>i</m:t>
              </m:r>
            </m:sup>
          </m:sSubSup>
          <m:r>
            <m:rPr>
              <m:sty m:val="p"/>
            </m:rPr>
            <m:t>=</m:t>
          </m:r>
          <m:r>
            <m:rPr>
              <m:sty m:val="p"/>
            </m:rPr>
            <m:t>clip</m:t>
          </m:r>
          <m:d>
            <m:dPr>
              <m:begChr m:val="("/>
              <m:endChr m:val=")"/>
              <m:sepChr m:val=""/>
              <m:grow/>
            </m:dPr>
            <m:e>
              <m:d>
                <m:dPr>
                  <m:begChr m:val="("/>
                  <m:endChr m:val=")"/>
                  <m:sepChr m:val=""/>
                  <m:grow/>
                </m:dPr>
                <m:e>
                  <m:sSubSup>
                    <m:e>
                      <m:r>
                        <m:t>v</m:t>
                      </m:r>
                    </m:e>
                    <m:sub>
                      <m:r>
                        <m:t>t</m:t>
                      </m:r>
                    </m:sub>
                    <m:sup>
                      <m:r>
                        <m:t>i</m:t>
                      </m:r>
                    </m:sup>
                  </m:sSubSup>
                  <m:r>
                    <m:rPr>
                      <m:sty m:val="p"/>
                    </m:rPr>
                    <m:t>−</m:t>
                  </m:r>
                  <m:sSubSup>
                    <m:e>
                      <m:r>
                        <m:t>v</m:t>
                      </m:r>
                    </m:e>
                    <m:sub>
                      <m:r>
                        <m:t>t</m:t>
                      </m:r>
                      <m:r>
                        <m:rPr>
                          <m:sty m:val="p"/>
                        </m:rPr>
                        <m:t>−</m:t>
                      </m:r>
                      <m:r>
                        <m:t>1</m:t>
                      </m:r>
                    </m:sub>
                    <m:sup>
                      <m:r>
                        <m:t>i</m:t>
                      </m:r>
                    </m:sup>
                  </m:sSubSup>
                </m:e>
              </m:d>
              <m:r>
                <m:rPr>
                  <m:sty m:val="p"/>
                </m:rPr>
                <m:t>/</m:t>
              </m:r>
              <m:r>
                <m:t>Δ</m:t>
              </m:r>
              <m:r>
                <m:t>t</m:t>
              </m:r>
              <m:r>
                <m:rPr>
                  <m:sty m:val="p"/>
                </m:rPr>
                <m:t>,</m:t>
              </m:r>
              <m:r>
                <m:rPr>
                  <m:sty m:val="p"/>
                </m:rPr>
                <m:t>−</m:t>
              </m:r>
              <m:r>
                <m:t>6</m:t>
              </m:r>
              <m:r>
                <m:rPr>
                  <m:sty m:val="p"/>
                </m:rPr>
                <m:t>,</m:t>
              </m:r>
              <m:r>
                <m:t>1.5</m:t>
              </m:r>
            </m:e>
          </m:d>
          <m:r>
            <m:rPr>
              <m:sty m:val="p"/>
            </m:rPr>
            <m:t>,</m:t>
          </m:r>
        </m:oMath>
      </m:oMathPara>
    </w:p>
    <w:p>
      <w:pPr>
        <w:pStyle w:val="FirstParagraph"/>
      </w:pPr>
      <w:r>
        <w:t xml:space="preserve">using zero on the first observation. During rollout, predicted NPC speed is clipped to</w:t>
      </w:r>
      <w:r>
        <w:t xml:space="preserve"> </w:t>
      </w:r>
      <m:oMath>
        <m:d>
          <m:dPr>
            <m:begChr m:val="["/>
            <m:endChr m:val="]"/>
            <m:sepChr m:val=""/>
            <m:grow/>
          </m:dPr>
          <m:e>
            <m:r>
              <m:t>0</m:t>
            </m:r>
            <m:r>
              <m:rPr>
                <m:sty m:val="p"/>
              </m:rPr>
              <m:t>,</m:t>
            </m:r>
            <m:r>
              <m:t>20</m:t>
            </m:r>
          </m:e>
        </m:d>
      </m:oMath>
      <w:r>
        <w:t xml:space="preserve"> m/s, and its acceleration estimate is multiplied by 0.85 after each step. NPC heading remains fixed outside the roundabout; on the roundabout, predicted motion follows the 8 m circle. This is an observable forecast, not access to the traffic simulator’s hidden intentions.</w:t>
      </w:r>
    </w:p>
    <w:p>
      <w:pPr>
        <w:pStyle w:val="BodyText"/>
      </w:pPr>
      <w:r>
        <w:t xml:space="preserve">Starting from</w:t>
      </w:r>
      <w:r>
        <w:t xml:space="preserve"> </w:t>
      </w:r>
      <m:oMath>
        <m:d>
          <m:dPr>
            <m:begChr m:val="("/>
            <m:endChr m:val=")"/>
            <m:sepChr m:val=""/>
            <m:grow/>
          </m:dPr>
          <m:e>
            <m:sSup>
              <m:e>
                <m:acc>
                  <m:accPr>
                    <m:chr m:val="̂"/>
                  </m:accPr>
                  <m:e>
                    <m:r>
                      <m:t>x</m:t>
                    </m:r>
                  </m:e>
                </m:acc>
              </m:e>
              <m:sup>
                <m:r>
                  <m:t>0</m:t>
                </m:r>
              </m:sup>
            </m:sSup>
            <m:r>
              <m:rPr>
                <m:sty m:val="p"/>
              </m:rPr>
              <m:t>,</m:t>
            </m:r>
            <m:sSup>
              <m:e>
                <m:acc>
                  <m:accPr>
                    <m:chr m:val="̂"/>
                  </m:accPr>
                  <m:e>
                    <m:r>
                      <m:t>z</m:t>
                    </m:r>
                  </m:e>
                </m:acc>
              </m:e>
              <m:sup>
                <m:r>
                  <m:t>0</m:t>
                </m:r>
              </m:sup>
            </m:sSup>
          </m:e>
        </m:d>
        <m:r>
          <m:rPr>
            <m:sty m:val="p"/>
          </m:rPr>
          <m:t>=</m:t>
        </m:r>
        <m:d>
          <m:dPr>
            <m:begChr m:val="("/>
            <m:endChr m:val=")"/>
            <m:sepChr m:val=""/>
            <m:grow/>
          </m:dPr>
          <m:e>
            <m:sSub>
              <m:e>
                <m:r>
                  <m:t>x</m:t>
                </m:r>
              </m:e>
              <m:sub>
                <m:r>
                  <m:t>t</m:t>
                </m:r>
              </m:sub>
            </m:sSub>
            <m:r>
              <m:rPr>
                <m:sty m:val="p"/>
              </m:rPr>
              <m:t>,</m:t>
            </m:r>
            <m:sSub>
              <m:e>
                <m:r>
                  <m:t>z</m:t>
                </m:r>
              </m:e>
              <m:sub>
                <m:r>
                  <m:t>t</m:t>
                </m:r>
              </m:sub>
            </m:sSub>
          </m:e>
        </m:d>
      </m:oMath>
      <w:r>
        <w:t xml:space="preserve">, the supervisor propagates every pending command:</w:t>
      </w:r>
    </w:p>
    <w:p>
      <w:pPr>
        <w:pStyle w:val="BodyText"/>
      </w:pPr>
      <m:oMathPara>
        <m:oMathParaPr>
          <m:jc m:val="center"/>
        </m:oMathParaPr>
        <m:oMath>
          <m:d>
            <m:dPr>
              <m:begChr m:val="("/>
              <m:endChr m:val=")"/>
              <m:sepChr m:val=""/>
              <m:grow/>
            </m:dPr>
            <m:e>
              <m:sSup>
                <m:e>
                  <m:acc>
                    <m:accPr>
                      <m:chr m:val="̂"/>
                    </m:accPr>
                    <m:e>
                      <m:r>
                        <m:t>x</m:t>
                      </m:r>
                    </m:e>
                  </m:acc>
                </m:e>
                <m:sup>
                  <m:r>
                    <m:t>j</m:t>
                  </m:r>
                  <m:r>
                    <m:rPr>
                      <m:sty m:val="p"/>
                    </m:rPr>
                    <m:t>+</m:t>
                  </m:r>
                  <m:r>
                    <m:t>1</m:t>
                  </m:r>
                </m:sup>
              </m:sSup>
              <m:r>
                <m:rPr>
                  <m:sty m:val="p"/>
                </m:rPr>
                <m:t>,</m:t>
              </m:r>
              <m:sSup>
                <m:e>
                  <m:acc>
                    <m:accPr>
                      <m:chr m:val="̂"/>
                    </m:accPr>
                    <m:e>
                      <m:r>
                        <m:t>z</m:t>
                      </m:r>
                    </m:e>
                  </m:acc>
                </m:e>
                <m:sup>
                  <m:r>
                    <m:t>j</m:t>
                  </m:r>
                  <m:r>
                    <m:rPr>
                      <m:sty m:val="p"/>
                    </m:rPr>
                    <m:t>+</m:t>
                  </m:r>
                  <m:r>
                    <m:t>1</m:t>
                  </m:r>
                </m:sup>
              </m:sSup>
            </m:e>
          </m:d>
          <m:r>
            <m:rPr>
              <m:sty m:val="p"/>
            </m:rPr>
            <m:t>=</m:t>
          </m:r>
          <m:acc>
            <m:accPr>
              <m:chr m:val="̂"/>
            </m:accPr>
            <m:e>
              <m:r>
                <m:t>F</m:t>
              </m:r>
            </m:e>
          </m:acc>
          <m:d>
            <m:dPr>
              <m:begChr m:val="("/>
              <m:endChr m:val=")"/>
              <m:sepChr m:val=""/>
              <m:grow/>
            </m:dPr>
            <m:e>
              <m:sSup>
                <m:e>
                  <m:acc>
                    <m:accPr>
                      <m:chr m:val="̂"/>
                    </m:accPr>
                    <m:e>
                      <m:r>
                        <m:t>x</m:t>
                      </m:r>
                    </m:e>
                  </m:acc>
                </m:e>
                <m:sup>
                  <m:r>
                    <m:t>j</m:t>
                  </m:r>
                </m:sup>
              </m:sSup>
              <m:r>
                <m:rPr>
                  <m:sty m:val="p"/>
                </m:rPr>
                <m:t>,</m:t>
              </m:r>
              <m:sSup>
                <m:e>
                  <m:acc>
                    <m:accPr>
                      <m:chr m:val="̂"/>
                    </m:accPr>
                    <m:e>
                      <m:r>
                        <m:t>z</m:t>
                      </m:r>
                    </m:e>
                  </m:acc>
                </m:e>
                <m:sup>
                  <m:r>
                    <m:t>j</m:t>
                  </m:r>
                </m:sup>
              </m:sSup>
              <m:r>
                <m:rPr>
                  <m:sty m:val="p"/>
                </m:rPr>
                <m:t>,</m:t>
              </m:r>
              <m:sSubSup>
                <m:e>
                  <m:r>
                    <m:t>q</m:t>
                  </m:r>
                </m:e>
                <m:sub>
                  <m:r>
                    <m:t>t</m:t>
                  </m:r>
                </m:sub>
                <m:sup>
                  <m:r>
                    <m:t>j</m:t>
                  </m:r>
                </m:sup>
              </m:sSubSup>
            </m:e>
          </m:d>
          <m:r>
            <m:rPr>
              <m:sty m:val="p"/>
            </m:rPr>
            <m:t>,</m:t>
          </m:r>
          <m:r>
            <m:t> </m:t>
          </m:r>
          <m:r>
            <m:t>0</m:t>
          </m:r>
          <m:r>
            <m:rPr>
              <m:sty m:val="p"/>
            </m:rPr>
            <m:t>≤</m:t>
          </m:r>
          <m:r>
            <m:t>j</m:t>
          </m:r>
          <m:r>
            <m:rPr>
              <m:sty m:val="p"/>
            </m:rPr>
            <m:t>&lt;</m:t>
          </m:r>
          <m:r>
            <m:t>d</m:t>
          </m:r>
          <m:r>
            <m:rPr>
              <m:sty m:val="p"/>
            </m:rPr>
            <m:t>.</m:t>
          </m:r>
        </m:oMath>
      </m:oMathPara>
    </w:p>
    <w:p>
      <w:pPr>
        <w:pStyle w:val="FirstParagraph"/>
      </w:pPr>
      <w:r>
        <w:t xml:space="preserve">The resulting</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r>
          <m:rPr>
            <m:sty m:val="p"/>
          </m:rPr>
          <m:t>=</m:t>
        </m:r>
        <m:d>
          <m:dPr>
            <m:begChr m:val="("/>
            <m:endChr m:val=")"/>
            <m:sepChr m:val=""/>
            <m:grow/>
          </m:dPr>
          <m:e>
            <m:sSup>
              <m:e>
                <m:acc>
                  <m:accPr>
                    <m:chr m:val="̂"/>
                  </m:accPr>
                  <m:e>
                    <m:r>
                      <m:t>x</m:t>
                    </m:r>
                  </m:e>
                </m:acc>
              </m:e>
              <m:sup>
                <m:r>
                  <m:t>d</m:t>
                </m:r>
              </m:sup>
            </m:sSup>
            <m:r>
              <m:rPr>
                <m:sty m:val="p"/>
              </m:rPr>
              <m:t>,</m:t>
            </m:r>
            <m:sSup>
              <m:e>
                <m:acc>
                  <m:accPr>
                    <m:chr m:val="̂"/>
                  </m:accPr>
                  <m:e>
                    <m:r>
                      <m:t>z</m:t>
                    </m:r>
                  </m:e>
                </m:acc>
              </m:e>
              <m:sup>
                <m:r>
                  <m:t>d</m:t>
                </m:r>
              </m:sup>
            </m:sSup>
          </m:e>
        </m:d>
      </m:oMath>
      <w:r>
        <w:t xml:space="preserve"> </w:t>
      </w:r>
      <w:r>
        <w:t xml:space="preserve">initializes the future-action search. At each predicted step, minimum disc clearance is</w:t>
      </w:r>
      <w:r>
        <w:t xml:space="preserve"> </w:t>
      </w:r>
      <m:oMath>
        <m:r>
          <m:t>c</m:t>
        </m:r>
        <m:r>
          <m:rPr>
            <m:sty m:val="p"/>
          </m:rPr>
          <m:t>=</m:t>
        </m:r>
        <m:sSub>
          <m:e>
            <m:r>
              <m:rPr>
                <m:sty m:val="p"/>
              </m:rPr>
              <m:t>min</m:t>
            </m:r>
          </m:e>
          <m:sub>
            <m:r>
              <m:t>i</m:t>
            </m:r>
          </m:sub>
        </m:sSub>
        <m:r>
          <m:rPr>
            <m:sty m:val="p"/>
          </m:rPr>
          <m:t>∥</m:t>
        </m:r>
        <m:d>
          <m:dPr>
            <m:begChr m:val="("/>
            <m:endChr m:val=")"/>
            <m:sepChr m:val=""/>
            <m:grow/>
          </m:dPr>
          <m:e>
            <m:r>
              <m:t>X</m:t>
            </m:r>
            <m:r>
              <m:rPr>
                <m:sty m:val="p"/>
              </m:rPr>
              <m:t>,</m:t>
            </m:r>
            <m:r>
              <m:t>Y</m:t>
            </m:r>
          </m:e>
        </m:d>
        <m:r>
          <m:rPr>
            <m:sty m:val="p"/>
          </m:rPr>
          <m:t>−</m:t>
        </m:r>
        <m:d>
          <m:dPr>
            <m:begChr m:val="("/>
            <m:endChr m:val=")"/>
            <m:sepChr m:val=""/>
            <m:grow/>
          </m:dPr>
          <m:e>
            <m:sSup>
              <m:e>
                <m:r>
                  <m:t>X</m:t>
                </m:r>
              </m:e>
              <m:sup>
                <m:r>
                  <m:t>i</m:t>
                </m:r>
              </m:sup>
            </m:sSup>
            <m:r>
              <m:rPr>
                <m:sty m:val="p"/>
              </m:rPr>
              <m:t>,</m:t>
            </m:r>
            <m:sSup>
              <m:e>
                <m:r>
                  <m:t>Y</m:t>
                </m:r>
              </m:e>
              <m:sup>
                <m:r>
                  <m:t>i</m:t>
                </m:r>
              </m:sup>
            </m:sSup>
          </m:e>
        </m:d>
        <m:sSub>
          <m:e>
            <m:r>
              <m:rPr>
                <m:sty m:val="p"/>
              </m:rPr>
              <m:t>∥</m:t>
            </m:r>
          </m:e>
          <m:sub>
            <m:r>
              <m:t>2</m:t>
            </m:r>
          </m:sub>
        </m:sSub>
        <m:r>
          <m:rPr>
            <m:sty m:val="p"/>
          </m:rPr>
          <m:t>−</m:t>
        </m:r>
        <m:r>
          <m:t>4.846</m:t>
        </m:r>
      </m:oMath>
      <w:r>
        <w:t xml:space="preserve"> m. The queue prefix is flagged if</w:t>
      </w:r>
      <w:r>
        <w:t xml:space="preserve"> </w:t>
      </w:r>
      <m:oMath>
        <m:r>
          <m:t>c</m:t>
        </m:r>
        <m:r>
          <m:rPr>
            <m:sty m:val="p"/>
          </m:rPr>
          <m:t>&lt;</m:t>
        </m:r>
        <m:r>
          <m:t>0.25</m:t>
        </m:r>
      </m:oMath>
      <w:r>
        <w:t xml:space="preserve"> m or</w:t>
      </w:r>
      <w:r>
        <w:t xml:space="preserve"> </w:t>
      </w:r>
      <m:oMath>
        <m:d>
          <m:dPr>
            <m:begChr m:val="|"/>
            <m:endChr m:val="|"/>
            <m:sepChr m:val=""/>
            <m:grow/>
          </m:dPr>
          <m:e>
            <m:sSub>
              <m:e>
                <m:r>
                  <m:t>e</m:t>
                </m:r>
              </m:e>
              <m:sub>
                <m:r>
                  <m:t>y</m:t>
                </m:r>
              </m:sub>
            </m:sSub>
          </m:e>
        </m:d>
        <m:r>
          <m:rPr>
            <m:sty m:val="p"/>
          </m:rPr>
          <m:t>&gt;</m:t>
        </m:r>
        <m:r>
          <m:t>1.75</m:t>
        </m:r>
      </m:oMath>
      <w:r>
        <w:t xml:space="preserve"> m. A prefix violation is a diagnostic of already committed commands, not a proof that the next action can recover safety.</w:t>
      </w:r>
    </w:p>
    <w:p>
      <w:pPr>
        <w:pStyle w:val="BodyText"/>
      </w:pPr>
      <w:r>
        <w:t xml:space="preserve">Episodes last at most 160 steps (16 s). Highway, Merge, Intersection and Roundabout contain 5, 6, 1 and 4 NPCs, with reference speeds 15, 12, 8 and 9 m/s. Proposed initial ego speeds are uniform on [11,15], [11,15], [6,7.5] and [5.5,7.5] m/s, respectively. Goals are 80, 60 and 50 m of relative longitudinal progress for the first three scenarios (Merge also requires</w:t>
      </w:r>
      <w:r>
        <w:t xml:space="preserve"> </w:t>
      </w:r>
      <m:oMath>
        <m:d>
          <m:dPr>
            <m:begChr m:val="|"/>
            <m:endChr m:val="|"/>
            <m:sepChr m:val=""/>
            <m:grow/>
          </m:dPr>
          <m:e>
            <m:r>
              <m:t>Y</m:t>
            </m:r>
          </m:e>
        </m:d>
        <m:r>
          <m:rPr>
            <m:sty m:val="p"/>
          </m:rPr>
          <m:t>&lt;</m:t>
        </m:r>
        <m:r>
          <m:t>1</m:t>
        </m:r>
      </m:oMath>
      <w:r>
        <w:t xml:space="preserve"> m), and one unwrapped lap for Roundabout. Goal attainment is nonterminal: logging continues until collision or the time limit. NPCs use bounded IDM-style interactions; the predictor only observes their acceleration. Initial scenes satisfy rejection-sampling predicates excluding specified overlaps and close-following configurations; these predicates do not certify solvability. Exact scene distributions and policy metadata are in the linked methods supplement. Roundabout is circular following, not entry/exit negotiation.</w:t>
      </w:r>
    </w:p>
    <w:p>
      <w:pPr>
        <w:pStyle w:val="CaptionedFigure"/>
      </w:pPr>
      <w:r>
        <w:drawing>
          <wp:inline>
            <wp:extent cx="4907280" cy="2726266"/>
            <wp:effectExtent b="0" l="0" r="0" t="0"/>
            <wp:docPr descr="" title="" id="29" name="Picture"/>
            <a:graphic>
              <a:graphicData uri="http://schemas.openxmlformats.org/drawingml/2006/picture">
                <pic:pic>
                  <pic:nvPicPr>
                    <pic:cNvPr descr="figures/architecture.png" id="30" name="Picture"/>
                    <pic:cNvPicPr>
                      <a:picLocks noChangeArrowheads="1" noChangeAspect="1"/>
                    </pic:cNvPicPr>
                  </pic:nvPicPr>
                  <pic:blipFill>
                    <a:blip r:embed="rId28"/>
                    <a:stretch>
                      <a:fillRect/>
                    </a:stretch>
                  </pic:blipFill>
                  <pic:spPr bwMode="auto">
                    <a:xfrm>
                      <a:off x="0" y="0"/>
                      <a:ext cx="4907280" cy="2726266"/>
                    </a:xfrm>
                    <a:prstGeom prst="rect">
                      <a:avLst/>
                    </a:prstGeom>
                    <a:noFill/>
                    <a:ln w="9525">
                      <a:noFill/>
                      <a:headEnd/>
                      <a:tailEnd/>
                    </a:ln>
                  </pic:spPr>
                </pic:pic>
              </a:graphicData>
            </a:graphic>
          </wp:inline>
        </w:drawing>
      </w:r>
    </w:p>
    <w:p>
      <w:pPr>
        <w:pStyle w:val="ImageCaption"/>
      </w:pPr>
      <w:r>
        <w:t xml:space="preserve">Fig. 1. </w:t>
      </w:r>
      <w:r>
        <w:t xml:space="preserve">LANS-RISK signal flow. Structured state and observed NPC acceleration support queue prediction; PPO receives legacy features</w:t>
      </w:r>
      <w:r>
        <w:t xml:space="preserve"> </w:t>
      </w:r>
      <m:oMath>
        <m:sSub>
          <m:e>
            <m:r>
              <m:t>o</m:t>
            </m:r>
          </m:e>
          <m:sub>
            <m:r>
              <m:t>t</m:t>
            </m:r>
          </m:sub>
        </m:sSub>
      </m:oMath>
      <w:r>
        <w:t xml:space="preserve">. Search uses arrival states, the geometric steering rule evaluated along each rollout, the actor prior and retained plan. Dashed paths supply queue/reference information or update memory. The selected first command enters the physical FIFO (</w:t>
      </w:r>
      <m:oMath>
        <m:r>
          <m:t>d</m:t>
        </m:r>
        <m:r>
          <m:rPr>
            <m:sty m:val="p"/>
          </m:rPr>
          <m:t>=</m:t>
        </m:r>
        <m:r>
          <m:t>0</m:t>
        </m:r>
      </m:oMath>
      <w:r>
        <w:t xml:space="preserve">: immediate). No EKF or LQR–PPO actuation fusion is implemented.</w:t>
      </w:r>
    </w:p>
    <w:bookmarkEnd w:id="31"/>
    <w:bookmarkEnd w:id="32"/>
    <w:bookmarkStart w:id="44" w:name="queue-aware-trajectory-supervision"/>
    <w:p>
      <w:pPr>
        <w:pStyle w:val="Heading1"/>
      </w:pPr>
      <w:r>
        <w:t xml:space="preserve">Queue-Aware Trajectory Supervision</w:t>
      </w:r>
    </w:p>
    <w:bookmarkStart w:id="33" w:name="Xf3bb46cfb9a91c023e76c85dfd60741ce0b7718"/>
    <w:p>
      <w:pPr>
        <w:pStyle w:val="Heading2"/>
      </w:pPr>
      <w:r>
        <w:t xml:space="preserve">Plan Representation and Candidate Generation</w:t>
      </w:r>
    </w:p>
    <w:p>
      <w:pPr>
        <w:pStyle w:val="FirstParagraph"/>
      </w:pPr>
      <w:r>
        <w:t xml:space="preserve">A candidate</w:t>
      </w:r>
      <w:r>
        <w:t xml:space="preserve"> </w:t>
      </w:r>
      <m:oMath>
        <m:r>
          <m:t>k</m:t>
        </m:r>
      </m:oMath>
      <w:r>
        <w:t xml:space="preserve"> </w:t>
      </w:r>
      <w:r>
        <w:t xml:space="preserve">is a sequence</w:t>
      </w:r>
      <w:r>
        <w:t xml:space="preserve"> </w:t>
      </w:r>
      <m:oMath>
        <m:sSub>
          <m:e>
            <m:r>
              <m:t>r</m:t>
            </m:r>
          </m:e>
          <m:sub>
            <m:r>
              <m:t>k</m:t>
            </m:r>
          </m:sub>
        </m:sSub>
        <m:r>
          <m:rPr>
            <m:sty m:val="p"/>
          </m:rPr>
          <m:t>=</m:t>
        </m:r>
        <m:r>
          <m:rPr>
            <m:sty m:val="p"/>
          </m:rPr>
          <m:t>{</m:t>
        </m:r>
        <m:d>
          <m:dPr>
            <m:begChr m:val="("/>
            <m:endChr m:val=")"/>
            <m:sepChr m:val=""/>
            <m:grow/>
          </m:dPr>
          <m:e>
            <m:sSub>
              <m:e>
                <m:r>
                  <m:t>b</m:t>
                </m:r>
              </m:e>
              <m:sub>
                <m:r>
                  <m:t>k</m:t>
                </m:r>
                <m:r>
                  <m:rPr>
                    <m:sty m:val="p"/>
                  </m:rPr>
                  <m:t>,</m:t>
                </m:r>
                <m:r>
                  <m:t>h</m:t>
                </m:r>
              </m:sub>
            </m:sSub>
            <m:r>
              <m:rPr>
                <m:sty m:val="p"/>
              </m:rPr>
              <m:t>,</m:t>
            </m:r>
            <m:sSub>
              <m:e>
                <m:r>
                  <m:t>α</m:t>
                </m:r>
              </m:e>
              <m:sub>
                <m:r>
                  <m:t>k</m:t>
                </m:r>
                <m:r>
                  <m:rPr>
                    <m:sty m:val="p"/>
                  </m:rPr>
                  <m:t>,</m:t>
                </m:r>
                <m:r>
                  <m:t>h</m:t>
                </m:r>
              </m:sub>
            </m:sSub>
          </m:e>
        </m:d>
        <m:sSubSup>
          <m:e>
            <m:r>
              <m:rPr>
                <m:sty m:val="p"/>
              </m:rPr>
              <m:t>}</m:t>
            </m:r>
          </m:e>
          <m:sub>
            <m:r>
              <m:t>h</m:t>
            </m:r>
            <m:r>
              <m:rPr>
                <m:sty m:val="p"/>
              </m:rPr>
              <m:t>=</m:t>
            </m:r>
            <m:r>
              <m:t>0</m:t>
            </m:r>
          </m:sub>
          <m:sup>
            <m:r>
              <m:t>H</m:t>
            </m:r>
            <m:r>
              <m:rPr>
                <m:sty m:val="p"/>
              </m:rPr>
              <m:t>−</m:t>
            </m:r>
            <m:r>
              <m:t>1</m:t>
            </m:r>
          </m:sup>
        </m:sSubSup>
      </m:oMath>
      <w:r>
        <w:t xml:space="preserve"> </w:t>
      </w:r>
      <w:r>
        <w:t xml:space="preserve">with</w:t>
      </w:r>
      <w:r>
        <w:t xml:space="preserve"> </w:t>
      </w:r>
      <m:oMath>
        <m:r>
          <m:t>H</m:t>
        </m:r>
        <m:r>
          <m:rPr>
            <m:sty m:val="p"/>
          </m:rPr>
          <m:t>=</m:t>
        </m:r>
        <m:r>
          <m:t>30</m:t>
        </m:r>
      </m:oMath>
      <w:r>
        <w:t xml:space="preserve">. At each predicted state, it generates</w:t>
      </w:r>
    </w:p>
    <w:p>
      <w:pPr>
        <w:pStyle w:val="BodyText"/>
      </w:pPr>
      <m:oMathPara>
        <m:oMathParaPr>
          <m:jc m:val="center"/>
        </m:oMathParaPr>
        <m:oMath>
          <m:sSub>
            <m:e>
              <m:r>
                <m:t>u</m:t>
              </m:r>
            </m:e>
            <m:sub>
              <m:r>
                <m:t>k</m:t>
              </m:r>
              <m:r>
                <m:rPr>
                  <m:sty m:val="p"/>
                </m:rPr>
                <m:t>,</m:t>
              </m:r>
              <m:r>
                <m:t>h</m:t>
              </m:r>
            </m:sub>
          </m:sSub>
          <m:r>
            <m:rPr>
              <m:sty m:val="p"/>
            </m:rPr>
            <m:t>=</m:t>
          </m:r>
          <m:d>
            <m:dPr>
              <m:begChr m:val="("/>
              <m:endChr m:val=")"/>
              <m:sepChr m:val=""/>
              <m:grow/>
            </m:dPr>
            <m:e>
              <m:r>
                <m:rPr>
                  <m:sty m:val="p"/>
                </m:rPr>
                <m:t>clip</m:t>
              </m:r>
              <m:d>
                <m:dPr>
                  <m:begChr m:val="("/>
                  <m:endChr m:val=")"/>
                  <m:sepChr m:val=""/>
                  <m:grow/>
                </m:dPr>
                <m:e>
                  <m:sSub>
                    <m:e>
                      <m:r>
                        <m:t>η</m:t>
                      </m:r>
                    </m:e>
                    <m:sub>
                      <m:r>
                        <m:t>g</m:t>
                      </m:r>
                    </m:sub>
                  </m:sSub>
                  <m:d>
                    <m:dPr>
                      <m:begChr m:val="("/>
                      <m:endChr m:val=")"/>
                      <m:sepChr m:val=""/>
                      <m:grow/>
                    </m:dPr>
                    <m:e>
                      <m:sSub>
                        <m:e>
                          <m:acc>
                            <m:accPr>
                              <m:chr m:val="̂"/>
                            </m:accPr>
                            <m:e>
                              <m:r>
                                <m:t>x</m:t>
                              </m:r>
                            </m:e>
                          </m:acc>
                        </m:e>
                        <m:sub>
                          <m:r>
                            <m:t>k</m:t>
                          </m:r>
                          <m:r>
                            <m:rPr>
                              <m:sty m:val="p"/>
                            </m:rPr>
                            <m:t>,</m:t>
                          </m:r>
                          <m:r>
                            <m:t>h</m:t>
                          </m:r>
                        </m:sub>
                      </m:sSub>
                    </m:e>
                  </m:d>
                  <m:r>
                    <m:rPr>
                      <m:sty m:val="p"/>
                    </m:rPr>
                    <m:t>+</m:t>
                  </m:r>
                  <m:sSub>
                    <m:e>
                      <m:r>
                        <m:t>b</m:t>
                      </m:r>
                    </m:e>
                    <m:sub>
                      <m:r>
                        <m:t>k</m:t>
                      </m:r>
                      <m:r>
                        <m:rPr>
                          <m:sty m:val="p"/>
                        </m:rPr>
                        <m:t>,</m:t>
                      </m:r>
                      <m:r>
                        <m:t>h</m:t>
                      </m:r>
                    </m:sub>
                  </m:sSub>
                  <m:r>
                    <m:rPr>
                      <m:sty m:val="p"/>
                    </m:rPr>
                    <m:t>,</m:t>
                  </m:r>
                  <m:r>
                    <m:rPr>
                      <m:sty m:val="p"/>
                    </m:rPr>
                    <m:t>−</m:t>
                  </m:r>
                  <m:r>
                    <m:t>1</m:t>
                  </m:r>
                  <m:r>
                    <m:rPr>
                      <m:sty m:val="p"/>
                    </m:rPr>
                    <m:t>,</m:t>
                  </m:r>
                  <m:r>
                    <m:t>1</m:t>
                  </m:r>
                </m:e>
              </m:d>
              <m:r>
                <m:rPr>
                  <m:sty m:val="p"/>
                </m:rPr>
                <m:t>,</m:t>
              </m:r>
              <m:sSub>
                <m:e>
                  <m:r>
                    <m:t>α</m:t>
                  </m:r>
                </m:e>
                <m:sub>
                  <m:r>
                    <m:t>k</m:t>
                  </m:r>
                  <m:r>
                    <m:rPr>
                      <m:sty m:val="p"/>
                    </m:rPr>
                    <m:t>,</m:t>
                  </m:r>
                  <m:r>
                    <m:t>h</m:t>
                  </m:r>
                </m:sub>
              </m:sSub>
            </m:e>
          </m:d>
          <m:r>
            <m:rPr>
              <m:sty m:val="p"/>
            </m:rPr>
            <m:t>.</m:t>
          </m:r>
        </m:oMath>
      </m:oMathPara>
    </w:p>
    <w:p>
      <w:pPr>
        <w:pStyle w:val="FirstParagraph"/>
      </w:pPr>
      <w:r>
        <w:t xml:space="preserve">The offset</w:t>
      </w:r>
      <w:r>
        <w:t xml:space="preserve"> </w:t>
      </w:r>
      <m:oMath>
        <m:sSub>
          <m:e>
            <m:r>
              <m:t>b</m:t>
            </m:r>
          </m:e>
          <m:sub>
            <m:r>
              <m:t>k</m:t>
            </m:r>
            <m:r>
              <m:rPr>
                <m:sty m:val="p"/>
              </m:rPr>
              <m:t>,</m:t>
            </m:r>
            <m:r>
              <m:t>h</m:t>
            </m:r>
          </m:sub>
        </m:sSub>
      </m:oMath>
      <w:r>
        <w:t xml:space="preserve"> </w:t>
      </w:r>
      <w:r>
        <w:t xml:space="preserve">permits geometric steering to adapt along a trajectory. The actor provides a first-action prior; it does not increase the common desired-speed reference</w:t>
      </w:r>
      <w:r>
        <w:t xml:space="preserve"> </w:t>
      </w:r>
      <m:oMath>
        <m:sSub>
          <m:e>
            <m:r>
              <m:t>v</m:t>
            </m:r>
          </m:e>
          <m:sub>
            <m:r>
              <m:rPr>
                <m:sty m:val="p"/>
              </m:rPr>
              <m:t>r</m:t>
            </m:r>
            <m:r>
              <m:rPr>
                <m:sty m:val="p"/>
              </m:rPr>
              <m:t>e</m:t>
            </m:r>
            <m:r>
              <m:rPr>
                <m:sty m:val="p"/>
              </m:rPr>
              <m:t>f</m:t>
            </m:r>
          </m:sub>
        </m:sSub>
      </m:oMath>
      <w:r>
        <w:t xml:space="preserve">.</w:t>
      </w:r>
    </w:p>
    <w:p>
      <w:pPr>
        <w:pStyle w:val="BodyText"/>
      </w:pPr>
      <w:r>
        <w:t xml:space="preserve">Each of three rounds samples</w:t>
      </w:r>
      <w:r>
        <w:t xml:space="preserve"> </w:t>
      </w:r>
      <m:oMath>
        <m:r>
          <m:t>K</m:t>
        </m:r>
        <m:r>
          <m:rPr>
            <m:sty m:val="p"/>
          </m:rPr>
          <m:t>=</m:t>
        </m:r>
        <m:r>
          <m:t>192</m:t>
        </m:r>
      </m:oMath>
      <w:r>
        <w:t xml:space="preserve"> </w:t>
      </w:r>
      <w:r>
        <w:t xml:space="preserve">plans around a per-step mean. Gaussian perturbations are shared within five-step blocks, but the mean has one value per step. All plan entries are clipped to</w:t>
      </w:r>
      <w:r>
        <w:t xml:space="preserve"> </w:t>
      </w:r>
      <m:oMath>
        <m:d>
          <m:dPr>
            <m:begChr m:val="["/>
            <m:endChr m:val="]"/>
            <m:sepChr m:val=""/>
            <m:grow/>
          </m:dPr>
          <m:e>
            <m:r>
              <m:rPr>
                <m:sty m:val="p"/>
              </m:rPr>
              <m:t>−</m:t>
            </m:r>
            <m:r>
              <m:t>1</m:t>
            </m:r>
            <m:r>
              <m:rPr>
                <m:sty m:val="p"/>
              </m:rPr>
              <m:t>,</m:t>
            </m:r>
            <m:r>
              <m:t>1</m:t>
            </m:r>
          </m:e>
        </m:d>
      </m:oMath>
      <w:r>
        <w:t xml:space="preserve">. Six explicit candidates replace the first sampled plans: the current mean, cruise, full brake, actor prior, retained previous plan, and best-so-far plan. Cruise uses</w:t>
      </w:r>
      <w:r>
        <w:t xml:space="preserve"> </w:t>
      </w:r>
      <m:oMath>
        <m:sSub>
          <m:e>
            <m:r>
              <m:t>b</m:t>
            </m:r>
          </m:e>
          <m:sub>
            <m:r>
              <m:t>h</m:t>
            </m:r>
          </m:sub>
        </m:sSub>
        <m:r>
          <m:rPr>
            <m:sty m:val="p"/>
          </m:rPr>
          <m:t>=</m:t>
        </m:r>
        <m:r>
          <m:t>0</m:t>
        </m:r>
      </m:oMath>
      <w:r>
        <w:t xml:space="preserve"> </w:t>
      </w:r>
      <w:r>
        <w:t xml:space="preserve">and</w:t>
      </w:r>
      <w:r>
        <w:t xml:space="preserve"> </w:t>
      </w:r>
      <m:oMath>
        <m:sSub>
          <m:e>
            <m:r>
              <m:t>α</m:t>
            </m:r>
          </m:e>
          <m:sub>
            <m:r>
              <m:t>h</m:t>
            </m:r>
          </m:sub>
        </m:sSub>
        <m:r>
          <m:rPr>
            <m:sty m:val="p"/>
          </m:rPr>
          <m:t>=</m:t>
        </m:r>
        <m:r>
          <m:rPr>
            <m:sty m:val="p"/>
          </m:rPr>
          <m:t>clip</m:t>
        </m:r>
        <m:d>
          <m:dPr>
            <m:begChr m:val="("/>
            <m:endChr m:val=")"/>
            <m:sepChr m:val=""/>
            <m:grow/>
          </m:dPr>
          <m:e>
            <m:d>
              <m:dPr>
                <m:begChr m:val="("/>
                <m:endChr m:val=")"/>
                <m:sepChr m:val=""/>
                <m:grow/>
              </m:dPr>
              <m:e>
                <m:sSub>
                  <m:e>
                    <m:r>
                      <m:t>v</m:t>
                    </m:r>
                  </m:e>
                  <m:sub>
                    <m:r>
                      <m:rPr>
                        <m:sty m:val="p"/>
                      </m:rPr>
                      <m:t>r</m:t>
                    </m:r>
                    <m:r>
                      <m:rPr>
                        <m:sty m:val="p"/>
                      </m:rPr>
                      <m:t>e</m:t>
                    </m:r>
                    <m:r>
                      <m:rPr>
                        <m:sty m:val="p"/>
                      </m:rPr>
                      <m:t>f</m:t>
                    </m:r>
                  </m:sub>
                </m:sSub>
                <m:r>
                  <m:rPr>
                    <m:sty m:val="p"/>
                  </m:rPr>
                  <m:t>−</m:t>
                </m:r>
                <m:sSub>
                  <m:e>
                    <m:acc>
                      <m:accPr>
                        <m:chr m:val="‾"/>
                      </m:accPr>
                      <m:e>
                        <m:r>
                          <m:t>v</m:t>
                        </m:r>
                      </m:e>
                    </m:acc>
                  </m:e>
                  <m:sub>
                    <m:r>
                      <m:t>t</m:t>
                    </m:r>
                  </m:sub>
                </m:sSub>
              </m:e>
            </m:d>
            <m:r>
              <m:rPr>
                <m:sty m:val="p"/>
              </m:rPr>
              <m:t>/</m:t>
            </m:r>
            <m:r>
              <m:t>3.5</m:t>
            </m:r>
            <m:r>
              <m:rPr>
                <m:sty m:val="p"/>
              </m:rPr>
              <m:t>,</m:t>
            </m:r>
            <m:r>
              <m:rPr>
                <m:sty m:val="p"/>
              </m:rPr>
              <m:t>−</m:t>
            </m:r>
            <m:r>
              <m:t>1</m:t>
            </m:r>
            <m:r>
              <m:rPr>
                <m:sty m:val="p"/>
              </m:rPr>
              <m:t>,</m:t>
            </m:r>
            <m:r>
              <m:t>1</m:t>
            </m:r>
          </m:e>
        </m:d>
      </m:oMath>
      <w:r>
        <w:t xml:space="preserve">; brake uses</w:t>
      </w:r>
      <w:r>
        <w:t xml:space="preserve"> </w:t>
      </w:r>
      <m:oMath>
        <m:d>
          <m:dPr>
            <m:begChr m:val="("/>
            <m:endChr m:val=")"/>
            <m:sepChr m:val=""/>
            <m:grow/>
          </m:dPr>
          <m:e>
            <m:sSub>
              <m:e>
                <m:r>
                  <m:t>b</m:t>
                </m:r>
              </m:e>
              <m:sub>
                <m:r>
                  <m:t>h</m:t>
                </m:r>
              </m:sub>
            </m:sSub>
            <m:r>
              <m:rPr>
                <m:sty m:val="p"/>
              </m:rPr>
              <m:t>,</m:t>
            </m:r>
            <m:sSub>
              <m:e>
                <m:r>
                  <m:t>α</m:t>
                </m:r>
              </m:e>
              <m:sub>
                <m:r>
                  <m:t>h</m:t>
                </m:r>
              </m:sub>
            </m:sSub>
          </m:e>
        </m:d>
        <m:r>
          <m:rPr>
            <m:sty m:val="p"/>
          </m:rPr>
          <m:t>=</m:t>
        </m:r>
        <m:d>
          <m:dPr>
            <m:begChr m:val="("/>
            <m:endChr m:val=")"/>
            <m:sepChr m:val=""/>
            <m:grow/>
          </m:dPr>
          <m:e>
            <m:r>
              <m:t>0</m:t>
            </m:r>
            <m:r>
              <m:rPr>
                <m:sty m:val="p"/>
              </m:rPr>
              <m:t>,</m:t>
            </m:r>
            <m:r>
              <m:rPr>
                <m:sty m:val="p"/>
              </m:rPr>
              <m:t>−</m:t>
            </m:r>
            <m:r>
              <m:t>1</m:t>
            </m:r>
          </m:e>
        </m:d>
      </m:oMath>
      <w:r>
        <w:t xml:space="preserve">. The actor-prior plan replaces the cruise plan’s first pair with</w:t>
      </w:r>
      <w:r>
        <w:t xml:space="preserve"> </w:t>
      </w:r>
      <m:oMath>
        <m:d>
          <m:dPr>
            <m:begChr m:val="("/>
            <m:endChr m:val=")"/>
            <m:sepChr m:val=""/>
            <m:grow/>
          </m:dPr>
          <m:e>
            <m:r>
              <m:rPr>
                <m:sty m:val="p"/>
              </m:rPr>
              <m:t>clip</m:t>
            </m:r>
            <m:d>
              <m:dPr>
                <m:begChr m:val="("/>
                <m:endChr m:val=")"/>
                <m:sepChr m:val=""/>
                <m:grow/>
              </m:dPr>
              <m:e>
                <m:sSubSup>
                  <m:e>
                    <m:r>
                      <m:t>u</m:t>
                    </m:r>
                  </m:e>
                  <m:sub>
                    <m:r>
                      <m:t>t</m:t>
                    </m:r>
                    <m:r>
                      <m:rPr>
                        <m:sty m:val="p"/>
                      </m:rPr>
                      <m:t>,</m:t>
                    </m:r>
                    <m:r>
                      <m:t>1</m:t>
                    </m:r>
                  </m:sub>
                  <m:sup>
                    <m:r>
                      <m:t>π</m:t>
                    </m:r>
                  </m:sup>
                </m:sSubSup>
                <m:r>
                  <m:rPr>
                    <m:sty m:val="p"/>
                  </m:rPr>
                  <m:t>−</m:t>
                </m:r>
                <m:sSub>
                  <m:e>
                    <m:r>
                      <m:t>η</m:t>
                    </m:r>
                  </m:e>
                  <m:sub>
                    <m:r>
                      <m:t>g</m:t>
                    </m:r>
                  </m:sub>
                </m:sSub>
                <m:d>
                  <m:dPr>
                    <m:begChr m:val="("/>
                    <m:endChr m:val=")"/>
                    <m:sepChr m:val=""/>
                    <m:grow/>
                  </m:dPr>
                  <m:e>
                    <m:sSub>
                      <m:e>
                        <m:acc>
                          <m:accPr>
                            <m:chr m:val="‾"/>
                          </m:accPr>
                          <m:e>
                            <m:r>
                              <m:t>x</m:t>
                            </m:r>
                          </m:e>
                        </m:acc>
                      </m:e>
                      <m:sub>
                        <m:r>
                          <m:t>t</m:t>
                        </m:r>
                      </m:sub>
                    </m:sSub>
                  </m:e>
                </m:d>
                <m:r>
                  <m:rPr>
                    <m:sty m:val="p"/>
                  </m:rPr>
                  <m:t>,</m:t>
                </m:r>
                <m:r>
                  <m:rPr>
                    <m:sty m:val="p"/>
                  </m:rPr>
                  <m:t>−</m:t>
                </m:r>
                <m:r>
                  <m:t>1</m:t>
                </m:r>
                <m:r>
                  <m:rPr>
                    <m:sty m:val="p"/>
                  </m:rPr>
                  <m:t>,</m:t>
                </m:r>
                <m:r>
                  <m:t>1</m:t>
                </m:r>
              </m:e>
            </m:d>
            <m:r>
              <m:rPr>
                <m:sty m:val="p"/>
              </m:rPr>
              <m:t>,</m:t>
            </m:r>
            <m:sSubSup>
              <m:e>
                <m:r>
                  <m:t>u</m:t>
                </m:r>
              </m:e>
              <m:sub>
                <m:r>
                  <m:t>t</m:t>
                </m:r>
                <m:r>
                  <m:rPr>
                    <m:sty m:val="p"/>
                  </m:rPr>
                  <m:t>,</m:t>
                </m:r>
                <m:r>
                  <m:t>2</m:t>
                </m:r>
              </m:sub>
              <m:sup>
                <m:r>
                  <m:t>π</m:t>
                </m:r>
              </m:sup>
            </m:sSubSup>
          </m:e>
        </m:d>
      </m:oMath>
      <w:r>
        <w:t xml:space="preserve">.</w:t>
      </w:r>
    </w:p>
    <w:p>
      <w:pPr>
        <w:pStyle w:val="BodyText"/>
      </w:pPr>
      <w:r>
        <w:t xml:space="preserve">The first decision starts its mean at cruise and its retained candidate at brake. Later decisions use the shifted previous plan. Initial sampling standard deviations are</w:t>
      </w:r>
      <w:r>
        <w:t xml:space="preserve"> </w:t>
      </w:r>
      <m:oMath>
        <m:d>
          <m:dPr>
            <m:begChr m:val="("/>
            <m:endChr m:val=")"/>
            <m:sepChr m:val=""/>
            <m:grow/>
          </m:dPr>
          <m:e>
            <m:r>
              <m:t>0.18</m:t>
            </m:r>
            <m:r>
              <m:rPr>
                <m:sty m:val="p"/>
              </m:rPr>
              <m:t>,</m:t>
            </m:r>
            <m:r>
              <m:t>0.65</m:t>
            </m:r>
          </m:e>
        </m:d>
      </m:oMath>
      <w:r>
        <w:t xml:space="preserve"> </w:t>
      </w:r>
      <w:r>
        <w:t xml:space="preserve">per step; the best 24 plans update the mean and standard deviation, with floors</w:t>
      </w:r>
      <w:r>
        <w:t xml:space="preserve"> </w:t>
      </w:r>
      <m:oMath>
        <m:d>
          <m:dPr>
            <m:begChr m:val="("/>
            <m:endChr m:val=")"/>
            <m:sepChr m:val=""/>
            <m:grow/>
          </m:dPr>
          <m:e>
            <m:r>
              <m:t>0.015</m:t>
            </m:r>
            <m:r>
              <m:rPr>
                <m:sty m:val="p"/>
              </m:rPr>
              <m:t>,</m:t>
            </m:r>
            <m:r>
              <m:t>0.08</m:t>
            </m:r>
          </m:e>
        </m:d>
      </m:oMath>
      <w:r>
        <w:t xml:space="preserve">. Thus the search evaluates 576 candidate rollouts per decision, although explicit candidates may repeat. This is sampled optimization, not an exhaustive feasibility solver.</w:t>
      </w:r>
    </w:p>
    <w:bookmarkEnd w:id="33"/>
    <w:bookmarkStart w:id="34" w:name="Xb9b1cc83b3cc431b7b59f8a47daccf633b28447"/>
    <w:p>
      <w:pPr>
        <w:pStyle w:val="Heading2"/>
      </w:pPr>
      <w:r>
        <w:t xml:space="preserve">Collision-First Ranking and Performance Cost</w:t>
      </w:r>
    </w:p>
    <w:p>
      <w:pPr>
        <w:pStyle w:val="FirstParagraph"/>
      </w:pPr>
      <w:r>
        <w:t xml:space="preserve">For steps</w:t>
      </w:r>
      <w:r>
        <w:t xml:space="preserve"> </w:t>
      </w:r>
      <m:oMath>
        <m:r>
          <m:t>h</m:t>
        </m:r>
        <m:r>
          <m:rPr>
            <m:sty m:val="p"/>
          </m:rPr>
          <m:t>=</m:t>
        </m:r>
        <m:r>
          <m:t>0</m:t>
        </m:r>
        <m:r>
          <m:rPr>
            <m:sty m:val="p"/>
          </m:rPr>
          <m:t>,</m:t>
        </m:r>
        <m:r>
          <m:rPr>
            <m:sty m:val="p"/>
          </m:rPr>
          <m:t>…</m:t>
        </m:r>
        <m:r>
          <m:rPr>
            <m:sty m:val="p"/>
          </m:rPr>
          <m:t>,</m:t>
        </m:r>
        <m:r>
          <m:t>H</m:t>
        </m:r>
        <m:r>
          <m:rPr>
            <m:sty m:val="p"/>
          </m:rPr>
          <m:t>−</m:t>
        </m:r>
        <m:r>
          <m:t>1</m:t>
        </m:r>
      </m:oMath>
      <w:r>
        <w:t xml:space="preserve">,</w:t>
      </w:r>
      <w:r>
        <w:t xml:space="preserve"> </w:t>
      </w:r>
      <m:oMath>
        <m:sSub>
          <m:e>
            <m:r>
              <m:t>c</m:t>
            </m:r>
          </m:e>
          <m:sub>
            <m:r>
              <m:t>k</m:t>
            </m:r>
            <m:r>
              <m:rPr>
                <m:sty m:val="p"/>
              </m:rPr>
              <m:t>,</m:t>
            </m:r>
            <m:r>
              <m:t>h</m:t>
            </m:r>
          </m:sub>
        </m:sSub>
      </m:oMath>
      <w:r>
        <w:t xml:space="preserve"> </w:t>
      </w:r>
      <w:r>
        <w:t xml:space="preserve">and</w:t>
      </w:r>
      <w:r>
        <w:t xml:space="preserve"> </w:t>
      </w:r>
      <m:oMath>
        <m:sSub>
          <m:e>
            <m:r>
              <m:t>e</m:t>
            </m:r>
          </m:e>
          <m:sub>
            <m:r>
              <m:t>k</m:t>
            </m:r>
            <m:r>
              <m:rPr>
                <m:sty m:val="p"/>
              </m:rPr>
              <m:t>,</m:t>
            </m:r>
            <m:r>
              <m:t>h</m:t>
            </m:r>
          </m:sub>
        </m:sSub>
      </m:oMath>
      <w:r>
        <w:t xml:space="preserve"> </w:t>
      </w:r>
      <w:r>
        <w:t xml:space="preserve">are evaluated after propagation. Define the first forecast violations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c</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sSub>
                      <m:e>
                        <m:r>
                          <m:t>c</m:t>
                        </m:r>
                      </m:e>
                      <m:sub>
                        <m:r>
                          <m:t>k</m:t>
                        </m:r>
                        <m:r>
                          <m:rPr>
                            <m:sty m:val="p"/>
                          </m:rPr>
                          <m:t>,</m:t>
                        </m:r>
                        <m:r>
                          <m:t>h</m:t>
                        </m:r>
                      </m:sub>
                    </m:sSub>
                    <m:r>
                      <m:rPr>
                        <m:sty m:val="p"/>
                      </m:rPr>
                      <m:t>&lt;</m:t>
                    </m:r>
                    <m:r>
                      <m:t>0.25</m:t>
                    </m:r>
                    <m:r>
                      <m:rPr>
                        <m:sty m:val="p"/>
                      </m:rPr>
                      <m:t>}</m:t>
                    </m:r>
                    <m:r>
                      <m:rPr>
                        <m:sty m:val="p"/>
                      </m:rPr>
                      <m:t>∪</m:t>
                    </m:r>
                    <m:r>
                      <m:rPr>
                        <m:sty m:val="p"/>
                      </m:rPr>
                      <m:t>{</m:t>
                    </m:r>
                    <m:r>
                      <m:t>H</m:t>
                    </m:r>
                    <m:r>
                      <m:rPr>
                        <m:sty m:val="p"/>
                      </m:rPr>
                      <m:t>}</m:t>
                    </m:r>
                  </m:e>
                </m:d>
                <m:r>
                  <m:rPr>
                    <m:sty m:val="p"/>
                  </m:rPr>
                  <m:t>,</m:t>
                </m:r>
              </m:e>
            </m:mr>
            <m:mr>
              <m:e>
                <m:sSub>
                  <m:e>
                    <m:r>
                      <m:t>h</m:t>
                    </m:r>
                  </m:e>
                  <m:sub>
                    <m:r>
                      <m:t>e</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d>
                      <m:dPr>
                        <m:begChr m:val="|"/>
                        <m:endChr m:val="|"/>
                        <m:sepChr m:val=""/>
                        <m:grow/>
                      </m:dPr>
                      <m:e>
                        <m:sSub>
                          <m:e>
                            <m:r>
                              <m:t>e</m:t>
                            </m:r>
                          </m:e>
                          <m:sub>
                            <m:r>
                              <m:t>k</m:t>
                            </m:r>
                            <m:r>
                              <m:rPr>
                                <m:sty m:val="p"/>
                              </m:rPr>
                              <m:t>,</m:t>
                            </m:r>
                            <m:r>
                              <m:t>h</m:t>
                            </m:r>
                          </m:sub>
                        </m:sSub>
                      </m:e>
                    </m:d>
                    <m:r>
                      <m:rPr>
                        <m:sty m:val="p"/>
                      </m:rPr>
                      <m:t>&gt;</m:t>
                    </m:r>
                    <m:r>
                      <m:t>1.75</m:t>
                    </m:r>
                    <m:r>
                      <m:rPr>
                        <m:sty m:val="p"/>
                      </m:rPr>
                      <m:t>}</m:t>
                    </m:r>
                    <m:r>
                      <m:rPr>
                        <m:sty m:val="p"/>
                      </m:rPr>
                      <m:t>∪</m:t>
                    </m:r>
                    <m:r>
                      <m:rPr>
                        <m:sty m:val="p"/>
                      </m:rPr>
                      <m:t>{</m:t>
                    </m:r>
                    <m:r>
                      <m:t>H</m:t>
                    </m:r>
                    <m:r>
                      <m:rPr>
                        <m:sty m:val="p"/>
                      </m:rPr>
                      <m:t>}</m:t>
                    </m:r>
                  </m:e>
                </m:d>
                <m:r>
                  <m:rPr>
                    <m:sty m:val="p"/>
                  </m:rPr>
                  <m:t>,</m:t>
                </m:r>
              </m:e>
            </m:mr>
            <m:mr>
              <m:e>
                <m:sSub>
                  <m:e>
                    <m:r>
                      <m:t>s</m:t>
                    </m:r>
                  </m:e>
                  <m:sub>
                    <m:r>
                      <m:t>k</m:t>
                    </m:r>
                  </m:sub>
                </m:sSub>
              </m:e>
              <m:e>
                <m:r>
                  <m:rPr>
                    <m:sty m:val="p"/>
                  </m:rPr>
                  <m:t>=</m:t>
                </m:r>
                <m:d>
                  <m:dPr>
                    <m:begChr m:val="{"/>
                    <m:endChr m:val=""/>
                    <m:sepChr m:val=""/>
                    <m:grow/>
                  </m:dPr>
                  <m:e>
                    <m:m>
                      <m:mPr>
                        <m:baseJc m:val="center"/>
                        <m:plcHide m:val="on"/>
                        <m:mcs>
                          <m:mc>
                            <m:mcPr>
                              <m:mcJc m:val="left"/>
                              <m:count m:val="1"/>
                            </m:mcPr>
                          </m:mc>
                          <m:mc>
                            <m:mcPr>
                              <m:mcJc m:val="left"/>
                              <m:count m:val="1"/>
                            </m:mcPr>
                          </m:mc>
                        </m:mcs>
                      </m:mPr>
                      <m:mr>
                        <m:e>
                          <m:sSub>
                            <m:e>
                              <m:r>
                                <m:t>c</m:t>
                              </m:r>
                            </m:e>
                            <m:sub>
                              <m:r>
                                <m:t>k</m:t>
                              </m:r>
                              <m:r>
                                <m:rPr>
                                  <m:sty m:val="p"/>
                                </m:rPr>
                                <m:t>,</m:t>
                              </m:r>
                              <m:r>
                                <m:t>0</m:t>
                              </m:r>
                            </m:sub>
                          </m:sSub>
                          <m:r>
                            <m:rPr>
                              <m:sty m:val="p"/>
                            </m:rPr>
                            <m:t>,</m:t>
                          </m:r>
                        </m:e>
                        <m:e>
                          <m:sSub>
                            <m:e>
                              <m:r>
                                <m:t>h</m:t>
                              </m:r>
                            </m:e>
                            <m:sub>
                              <m:r>
                                <m:t>c</m:t>
                              </m:r>
                            </m:sub>
                          </m:sSub>
                          <m:d>
                            <m:dPr>
                              <m:begChr m:val="("/>
                              <m:endChr m:val=")"/>
                              <m:sepChr m:val=""/>
                              <m:grow/>
                            </m:dPr>
                            <m:e>
                              <m:r>
                                <m:t>k</m:t>
                              </m:r>
                            </m:e>
                          </m:d>
                          <m:r>
                            <m:rPr>
                              <m:sty m:val="p"/>
                            </m:rPr>
                            <m:t>=</m:t>
                          </m:r>
                          <m:r>
                            <m:t>0</m:t>
                          </m:r>
                          <m:r>
                            <m:rPr>
                              <m:sty m:val="p"/>
                            </m:rPr>
                            <m:t>,</m:t>
                          </m:r>
                        </m:e>
                      </m:mr>
                      <m:mr>
                        <m:e>
                          <m:sSub>
                            <m:e>
                              <m:r>
                                <m:t>h</m:t>
                              </m:r>
                            </m:e>
                            <m:sub>
                              <m:r>
                                <m:t>e</m:t>
                              </m:r>
                            </m:sub>
                          </m:sSub>
                          <m:d>
                            <m:dPr>
                              <m:begChr m:val="("/>
                              <m:endChr m:val=")"/>
                              <m:sepChr m:val=""/>
                              <m:grow/>
                            </m:dPr>
                            <m:e>
                              <m:r>
                                <m:t>k</m:t>
                              </m:r>
                            </m:e>
                          </m:d>
                          <m:r>
                            <m:rPr>
                              <m:sty m:val="p"/>
                            </m:rPr>
                            <m:t>,</m:t>
                          </m:r>
                        </m:e>
                        <m:e>
                          <m:sSub>
                            <m:e>
                              <m:r>
                                <m:t>h</m:t>
                              </m:r>
                            </m:e>
                            <m:sub>
                              <m:r>
                                <m:t>c</m:t>
                              </m:r>
                            </m:sub>
                          </m:sSub>
                          <m:d>
                            <m:dPr>
                              <m:begChr m:val="("/>
                              <m:endChr m:val=")"/>
                              <m:sepChr m:val=""/>
                              <m:grow/>
                            </m:dPr>
                            <m:e>
                              <m:r>
                                <m:t>k</m:t>
                              </m:r>
                            </m:e>
                          </m:d>
                          <m:r>
                            <m:rPr>
                              <m:sty m:val="p"/>
                            </m:rPr>
                            <m:t>&gt;</m:t>
                          </m:r>
                          <m:r>
                            <m:t>0</m:t>
                          </m:r>
                          <m:r>
                            <m:rPr>
                              <m:sty m:val="p"/>
                            </m:rPr>
                            <m:t>.</m:t>
                          </m:r>
                        </m:e>
                      </m:mr>
                    </m:m>
                  </m:e>
                </m:d>
              </m:e>
            </m:mr>
          </m:m>
        </m:oMath>
      </m:oMathPara>
    </w:p>
    <w:p>
      <w:pPr>
        <w:pStyle w:val="FirstParagraph"/>
      </w:pPr>
      <w:r>
        <w:t xml:space="preserve">Selection lexicographically maximizes</w:t>
      </w:r>
      <w:r>
        <w:t xml:space="preserve"> </w:t>
      </w:r>
      <m:oMath>
        <m:d>
          <m:dPr>
            <m:begChr m:val="("/>
            <m:endChr m:val=")"/>
            <m:sepChr m:val=""/>
            <m:grow/>
          </m:dPr>
          <m:e>
            <m:sSub>
              <m:e>
                <m:r>
                  <m:t>h</m:t>
                </m:r>
              </m:e>
              <m:sub>
                <m:r>
                  <m:t>c</m:t>
                </m:r>
              </m:sub>
            </m:sSub>
            <m:d>
              <m:dPr>
                <m:begChr m:val="("/>
                <m:endChr m:val=")"/>
                <m:sepChr m:val=""/>
                <m:grow/>
              </m:dPr>
              <m:e>
                <m:r>
                  <m:t>k</m:t>
                </m:r>
              </m:e>
            </m:d>
            <m:r>
              <m:rPr>
                <m:sty m:val="p"/>
              </m:rPr>
              <m:t>,</m:t>
            </m:r>
            <m:sSub>
              <m:e>
                <m:r>
                  <m:t>s</m:t>
                </m:r>
              </m:e>
              <m:sub>
                <m:r>
                  <m:t>k</m:t>
                </m:r>
              </m:sub>
            </m:sSub>
            <m:r>
              <m:rPr>
                <m:sty m:val="p"/>
              </m:rPr>
              <m:t>,</m:t>
            </m:r>
            <m:r>
              <m:rPr>
                <m:sty m:val="p"/>
              </m:rPr>
              <m:t>−</m:t>
            </m:r>
            <m:sSub>
              <m:e>
                <m:r>
                  <m:t>J</m:t>
                </m:r>
              </m:e>
              <m:sub>
                <m:r>
                  <m:t>k</m:t>
                </m:r>
              </m:sub>
            </m:sSub>
          </m:e>
        </m:d>
      </m:oMath>
      <w:r>
        <w:t xml:space="preserve">. Collision-free duration takes precedence; if all plans violate the collision margin immediately, first-step clearance replaces corridor duration as the secondary rank.</w:t>
      </w:r>
    </w:p>
    <w:p>
      <w:pPr>
        <w:pStyle w:val="BodyText"/>
      </w:pPr>
      <w:r>
        <w:t xml:space="preserve">The implemented stage cost is explicitly</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ℓ</m:t>
                    </m:r>
                  </m:e>
                  <m:sub>
                    <m:r>
                      <m:t>k</m:t>
                    </m:r>
                    <m:r>
                      <m:rPr>
                        <m:sty m:val="p"/>
                      </m:rPr>
                      <m:t>,</m:t>
                    </m:r>
                    <m:r>
                      <m:t>h</m:t>
                    </m:r>
                  </m:sub>
                </m:sSub>
                <m:r>
                  <m:rPr>
                    <m:sty m:val="p"/>
                  </m:rPr>
                  <m:t>=</m:t>
                </m:r>
                <m:r>
                  <m:t>​</m:t>
                </m:r>
              </m:e>
              <m:e>
                <m:r>
                  <m:t>8</m:t>
                </m:r>
                <m:sSubSup>
                  <m:e>
                    <m:r>
                      <m:t>e</m:t>
                    </m:r>
                  </m:e>
                  <m:sub>
                    <m:r>
                      <m:t>y</m:t>
                    </m:r>
                  </m:sub>
                  <m:sup>
                    <m:r>
                      <m:t>2</m:t>
                    </m:r>
                  </m:sup>
                </m:sSubSup>
                <m:r>
                  <m:rPr>
                    <m:sty m:val="p"/>
                  </m:rPr>
                  <m:t>+</m:t>
                </m:r>
                <m:r>
                  <m:t>2</m:t>
                </m:r>
                <m:sSubSup>
                  <m:e>
                    <m:r>
                      <m:t>e</m:t>
                    </m:r>
                  </m:e>
                  <m:sub>
                    <m:r>
                      <m:t>ψ</m:t>
                    </m:r>
                  </m:sub>
                  <m:sup>
                    <m:r>
                      <m:t>2</m:t>
                    </m:r>
                  </m:sup>
                </m:sSubSup>
                <m:r>
                  <m:rPr>
                    <m:sty m:val="p"/>
                  </m:rPr>
                  <m:t>+</m:t>
                </m:r>
                <m:r>
                  <m:t>0.2</m:t>
                </m:r>
                <m:sSup>
                  <m:e>
                    <m:d>
                      <m:dPr>
                        <m:begChr m:val="("/>
                        <m:endChr m:val=")"/>
                        <m:sepChr m:val=""/>
                        <m:grow/>
                      </m:dPr>
                      <m:e>
                        <m:r>
                          <m:t>v</m:t>
                        </m:r>
                        <m:r>
                          <m:rPr>
                            <m:sty m:val="p"/>
                          </m:rPr>
                          <m:t>−</m:t>
                        </m:r>
                        <m:sSub>
                          <m:e>
                            <m:r>
                              <m:t>v</m:t>
                            </m:r>
                          </m:e>
                          <m:sub>
                            <m:r>
                              <m:rPr>
                                <m:sty m:val="p"/>
                              </m:rPr>
                              <m:t>r</m:t>
                            </m:r>
                            <m:r>
                              <m:rPr>
                                <m:sty m:val="p"/>
                              </m:rPr>
                              <m:t>e</m:t>
                            </m:r>
                            <m:r>
                              <m:rPr>
                                <m:sty m:val="p"/>
                              </m:rPr>
                              <m:t>f</m:t>
                            </m:r>
                          </m:sub>
                        </m:sSub>
                      </m:e>
                    </m:d>
                  </m:e>
                  <m:sup>
                    <m:r>
                      <m:t>2</m:t>
                    </m:r>
                  </m:sup>
                </m:sSup>
              </m:e>
            </m:mr>
            <m:mr>
              <m:e/>
              <m:e>
                <m:r>
                  <m:rPr>
                    <m:sty m:val="p"/>
                  </m:rPr>
                  <m:t>+</m:t>
                </m:r>
                <m:r>
                  <m:t>0.03</m:t>
                </m:r>
                <m:d>
                  <m:dPr>
                    <m:begChr m:val="("/>
                    <m:endChr m:val=")"/>
                    <m:sepChr m:val=""/>
                    <m:grow/>
                  </m:dPr>
                  <m:e>
                    <m:sSup>
                      <m:e>
                        <m:r>
                          <m:t>η</m:t>
                        </m:r>
                      </m:e>
                      <m:sup>
                        <m:r>
                          <m:t>2</m:t>
                        </m:r>
                      </m:sup>
                    </m:sSup>
                    <m:r>
                      <m:rPr>
                        <m:sty m:val="p"/>
                      </m:rPr>
                      <m:t>+</m:t>
                    </m:r>
                    <m:sSup>
                      <m:e>
                        <m:r>
                          <m:t>α</m:t>
                        </m:r>
                      </m:e>
                      <m:sup>
                        <m:r>
                          <m:t>2</m:t>
                        </m:r>
                      </m:sup>
                    </m:sSup>
                  </m:e>
                </m:d>
                <m:r>
                  <m:rPr>
                    <m:sty m:val="p"/>
                  </m:rPr>
                  <m:t>+</m:t>
                </m:r>
                <m:r>
                  <m:t>10</m:t>
                </m:r>
                <m:r>
                  <m:rPr>
                    <m:sty m:val="p"/>
                  </m:rPr>
                  <m:t>max</m:t>
                </m:r>
                <m:sSup>
                  <m:e>
                    <m:d>
                      <m:dPr>
                        <m:begChr m:val="("/>
                        <m:endChr m:val=")"/>
                        <m:sepChr m:val=""/>
                        <m:grow/>
                      </m:dPr>
                      <m:e>
                        <m:r>
                          <m:t>0</m:t>
                        </m:r>
                        <m:r>
                          <m:rPr>
                            <m:sty m:val="p"/>
                          </m:rPr>
                          <m:t>,</m:t>
                        </m:r>
                        <m:r>
                          <m:t>1</m:t>
                        </m:r>
                        <m:r>
                          <m:rPr>
                            <m:sty m:val="p"/>
                          </m:rPr>
                          <m:t>−</m:t>
                        </m:r>
                        <m:r>
                          <m:t>c</m:t>
                        </m:r>
                      </m:e>
                    </m:d>
                  </m:e>
                  <m:sup>
                    <m:r>
                      <m:t>2</m:t>
                    </m:r>
                  </m:sup>
                </m:sSup>
              </m:e>
            </m:mr>
            <m:mr>
              <m:e/>
              <m:e>
                <m:r>
                  <m:rPr>
                    <m:sty m:val="p"/>
                  </m:rPr>
                  <m:t>+</m:t>
                </m:r>
                <m:sSub>
                  <m:e>
                    <m:r>
                      <m:rPr>
                        <m:sty m:val="b"/>
                      </m:rPr>
                      <m:t>1</m:t>
                    </m:r>
                  </m:e>
                  <m:sub>
                    <m:r>
                      <m:t>m</m:t>
                    </m:r>
                    <m:r>
                      <m:rPr>
                        <m:sty m:val="p"/>
                      </m:rPr>
                      <m:t>&lt;</m:t>
                    </m:r>
                    <m:r>
                      <m:t>0</m:t>
                    </m:r>
                  </m:sub>
                </m:sSub>
                <m:d>
                  <m:dPr>
                    <m:begChr m:val="("/>
                    <m:endChr m:val=")"/>
                    <m:sepChr m:val=""/>
                    <m:grow/>
                  </m:dPr>
                  <m:e>
                    <m:sSup>
                      <m:e>
                        <m:r>
                          <m:t>10</m:t>
                        </m:r>
                      </m:e>
                      <m:sup>
                        <m:r>
                          <m:t>6</m:t>
                        </m:r>
                      </m:sup>
                    </m:sSup>
                    <m:r>
                      <m:rPr>
                        <m:sty m:val="p"/>
                      </m:rPr>
                      <m:t>+</m:t>
                    </m:r>
                    <m:sSup>
                      <m:e>
                        <m:r>
                          <m:t>10</m:t>
                        </m:r>
                      </m:e>
                      <m:sup>
                        <m:r>
                          <m:t>5</m:t>
                        </m:r>
                      </m:sup>
                    </m:sSup>
                    <m:sSup>
                      <m:e>
                        <m:r>
                          <m:t>m</m:t>
                        </m:r>
                      </m:e>
                      <m:sup>
                        <m:r>
                          <m:t>2</m:t>
                        </m:r>
                      </m:sup>
                    </m:sSup>
                  </m:e>
                </m:d>
                <m:r>
                  <m:rPr>
                    <m:sty m:val="p"/>
                  </m:rPr>
                  <m:t>,</m:t>
                </m:r>
              </m:e>
            </m:mr>
            <m:mr>
              <m:e>
                <m:r>
                  <m:t>m</m:t>
                </m:r>
                <m:r>
                  <m:rPr>
                    <m:sty m:val="p"/>
                  </m:rPr>
                  <m:t>=</m:t>
                </m:r>
                <m:r>
                  <m:t>​</m:t>
                </m:r>
              </m:e>
              <m:e>
                <m:r>
                  <m:rPr>
                    <m:sty m:val="p"/>
                  </m:rPr>
                  <m:t>min</m:t>
                </m:r>
                <m:d>
                  <m:dPr>
                    <m:begChr m:val="("/>
                    <m:endChr m:val=")"/>
                    <m:sepChr m:val=""/>
                    <m:grow/>
                  </m:dPr>
                  <m:e>
                    <m:r>
                      <m:t>c</m:t>
                    </m:r>
                    <m:r>
                      <m:rPr>
                        <m:sty m:val="p"/>
                      </m:rPr>
                      <m:t>−</m:t>
                    </m:r>
                    <m:r>
                      <m:t>0.25</m:t>
                    </m:r>
                    <m:r>
                      <m:rPr>
                        <m:sty m:val="p"/>
                      </m:rPr>
                      <m:t>,</m:t>
                    </m:r>
                    <m:r>
                      <m:t>1.75</m:t>
                    </m:r>
                    <m:r>
                      <m:rPr>
                        <m:sty m:val="p"/>
                      </m:rPr>
                      <m:t>−</m:t>
                    </m:r>
                    <m:d>
                      <m:dPr>
                        <m:begChr m:val="|"/>
                        <m:endChr m:val="|"/>
                        <m:sepChr m:val=""/>
                        <m:grow/>
                      </m:dPr>
                      <m:e>
                        <m:sSub>
                          <m:e>
                            <m:r>
                              <m:t>e</m:t>
                            </m:r>
                          </m:e>
                          <m:sub>
                            <m:r>
                              <m:t>y</m:t>
                            </m:r>
                          </m:sub>
                        </m:sSub>
                      </m:e>
                    </m:d>
                  </m:e>
                </m:d>
                <m:r>
                  <m:rPr>
                    <m:sty m:val="p"/>
                  </m:rPr>
                  <m:t>,</m:t>
                </m:r>
              </m:e>
            </m:mr>
            <m:mr>
              <m:e>
                <m:sSub>
                  <m:e>
                    <m:r>
                      <m:t>J</m:t>
                    </m:r>
                  </m:e>
                  <m:sub>
                    <m:r>
                      <m:t>k</m:t>
                    </m:r>
                  </m:sub>
                </m:sSub>
                <m:r>
                  <m:rPr>
                    <m:sty m:val="p"/>
                  </m:rPr>
                  <m:t>=</m:t>
                </m:r>
                <m:r>
                  <m:t>​</m:t>
                </m:r>
              </m:e>
              <m:e>
                <m:nary>
                  <m:naryPr>
                    <m:chr m:val="∑"/>
                    <m:limLoc m:val="undOvr"/>
                    <m:subHide m:val="off"/>
                    <m:supHide m:val="off"/>
                  </m:naryPr>
                  <m:sub>
                    <m:r>
                      <m:t>h</m:t>
                    </m:r>
                    <m:r>
                      <m:rPr>
                        <m:sty m:val="p"/>
                      </m:rPr>
                      <m:t>=</m:t>
                    </m:r>
                    <m:r>
                      <m:t>0</m:t>
                    </m:r>
                  </m:sub>
                  <m:sup>
                    <m:r>
                      <m:t>H</m:t>
                    </m:r>
                    <m:r>
                      <m:rPr>
                        <m:sty m:val="p"/>
                      </m:rPr>
                      <m:t>−</m:t>
                    </m:r>
                    <m:r>
                      <m:t>1</m:t>
                    </m:r>
                  </m:sup>
                  <m:e>
                    <m:sSub>
                      <m:e>
                        <m:r>
                          <m:rPr>
                            <m:sty m:val="p"/>
                          </m:rPr>
                          <m:t>ℓ</m:t>
                        </m:r>
                      </m:e>
                      <m:sub>
                        <m:r>
                          <m:t>k</m:t>
                        </m:r>
                        <m:r>
                          <m:rPr>
                            <m:sty m:val="p"/>
                          </m:rPr>
                          <m:t>,</m:t>
                        </m:r>
                        <m:r>
                          <m:t>h</m:t>
                        </m:r>
                      </m:sub>
                    </m:sSub>
                  </m:e>
                </m:nary>
                <m:r>
                  <m:rPr>
                    <m:sty m:val="p"/>
                  </m:rPr>
                  <m:t>+</m:t>
                </m:r>
                <m:r>
                  <m:t>0.5</m:t>
                </m:r>
                <m:r>
                  <m:rPr>
                    <m:sty m:val="p"/>
                  </m:rPr>
                  <m:t>∥</m:t>
                </m:r>
                <m:sSub>
                  <m:e>
                    <m:r>
                      <m:t>u</m:t>
                    </m:r>
                  </m:e>
                  <m:sub>
                    <m:r>
                      <m:t>k</m:t>
                    </m:r>
                    <m:r>
                      <m:rPr>
                        <m:sty m:val="p"/>
                      </m:rPr>
                      <m:t>,</m:t>
                    </m:r>
                    <m:r>
                      <m:t>0</m:t>
                    </m:r>
                  </m:sub>
                </m:sSub>
                <m:r>
                  <m:rPr>
                    <m:sty m:val="p"/>
                  </m:rPr>
                  <m:t>−</m:t>
                </m:r>
                <m:sSubSup>
                  <m:e>
                    <m:r>
                      <m:t>u</m:t>
                    </m:r>
                  </m:e>
                  <m:sub>
                    <m:r>
                      <m:t>t</m:t>
                    </m:r>
                  </m:sub>
                  <m:sup>
                    <m:r>
                      <m:t>π</m:t>
                    </m:r>
                  </m:sup>
                </m:sSubSup>
                <m:sSubSup>
                  <m:e>
                    <m:r>
                      <m:rPr>
                        <m:sty m:val="p"/>
                      </m:rPr>
                      <m:t>∥</m:t>
                    </m:r>
                  </m:e>
                  <m:sub>
                    <m:r>
                      <m:t>2</m:t>
                    </m:r>
                  </m:sub>
                  <m:sup>
                    <m:r>
                      <m:t>2</m:t>
                    </m:r>
                  </m:sup>
                </m:sSubSup>
                <m:r>
                  <m:rPr>
                    <m:sty m:val="p"/>
                  </m:rPr>
                  <m:t>.</m:t>
                </m:r>
              </m:e>
            </m:mr>
          </m:m>
        </m:oMath>
      </m:oMathPara>
    </w:p>
    <w:p>
      <w:pPr>
        <w:pStyle w:val="FirstParagraph"/>
      </w:pPr>
      <w:r>
        <w:t xml:space="preserve">The cost uses propagated states and normalized commands with frozen weights. Its penalties and ranking express priorities, not collision probabilities or safety certificates.</w:t>
      </w:r>
    </w:p>
    <w:bookmarkEnd w:id="34"/>
    <w:bookmarkStart w:id="36" w:name="command-execution-and-plan-retention"/>
    <w:p>
      <w:pPr>
        <w:pStyle w:val="Heading2"/>
      </w:pPr>
      <w:r>
        <w:t xml:space="preserve">Command Execution and Plan Retention</w:t>
      </w:r>
    </w:p>
    <w:p>
      <w:pPr>
        <w:pStyle w:val="FirstParagraph"/>
      </w:pPr>
      <w:r>
        <w:t xml:space="preserve">The best plan across the three rounds supplies only its first command. For the next decision, the stored candidate is</w:t>
      </w:r>
    </w:p>
    <w:p>
      <w:pPr>
        <w:pStyle w:val="BodyText"/>
      </w:pPr>
      <m:oMathPara>
        <m:oMathParaPr>
          <m:jc m:val="center"/>
        </m:oMathParaPr>
        <m:oMath>
          <m:sSubSup>
            <m:e>
              <m:r>
                <m:t>r</m:t>
              </m:r>
            </m:e>
            <m:sub>
              <m:r>
                <m:t>t</m:t>
              </m:r>
              <m:r>
                <m:rPr>
                  <m:sty m:val="p"/>
                </m:rPr>
                <m:t>+</m:t>
              </m:r>
              <m:r>
                <m:t>1</m:t>
              </m:r>
            </m:sub>
            <m:sup>
              <m:r>
                <m:rPr>
                  <m:sty m:val="p"/>
                </m:rPr>
                <m:t>r</m:t>
              </m:r>
              <m:r>
                <m:rPr>
                  <m:sty m:val="p"/>
                </m:rPr>
                <m:t>e</m:t>
              </m:r>
              <m:r>
                <m:rPr>
                  <m:sty m:val="p"/>
                </m:rPr>
                <m:t>t</m:t>
              </m:r>
              <m:r>
                <m:rPr>
                  <m:sty m:val="p"/>
                </m:rPr>
                <m:t>a</m:t>
              </m:r>
              <m:r>
                <m:rPr>
                  <m:sty m:val="p"/>
                </m:rPr>
                <m:t>i</m:t>
              </m:r>
              <m:r>
                <m:rPr>
                  <m:sty m:val="p"/>
                </m:rPr>
                <m:t>n</m:t>
              </m:r>
              <m:r>
                <m:rPr>
                  <m:sty m:val="p"/>
                </m:rPr>
                <m:t>e</m:t>
              </m:r>
              <m:r>
                <m:rPr>
                  <m:sty m:val="p"/>
                </m:rPr>
                <m:t>d</m:t>
              </m:r>
            </m:sup>
          </m:sSubSup>
          <m:r>
            <m:rPr>
              <m:sty m:val="p"/>
            </m:rPr>
            <m:t>=</m:t>
          </m:r>
          <m:d>
            <m:dPr>
              <m:begChr m:val="("/>
              <m:endChr m:val=")"/>
              <m:sepChr m:val=""/>
              <m:grow/>
            </m:dPr>
            <m:e>
              <m:sSubSup>
                <m:e>
                  <m:r>
                    <m:t>r</m:t>
                  </m:r>
                </m:e>
                <m:sub>
                  <m:r>
                    <m:t>t</m:t>
                  </m:r>
                  <m:r>
                    <m:rPr>
                      <m:sty m:val="p"/>
                    </m:rPr>
                    <m:t>,</m:t>
                  </m:r>
                  <m:r>
                    <m:t>1</m:t>
                  </m:r>
                </m:sub>
                <m:sup>
                  <m:r>
                    <m:rPr>
                      <m:sty m:val="p"/>
                    </m:rPr>
                    <m:t>*</m:t>
                  </m:r>
                </m:sup>
              </m:sSubSup>
              <m:r>
                <m:rPr>
                  <m:sty m:val="p"/>
                </m:rPr>
                <m:t>,</m:t>
              </m:r>
              <m:r>
                <m:rPr>
                  <m:sty m:val="p"/>
                </m:rPr>
                <m:t>…</m:t>
              </m:r>
              <m:r>
                <m:rPr>
                  <m:sty m:val="p"/>
                </m:rPr>
                <m:t>,</m:t>
              </m:r>
              <m:sSubSup>
                <m:e>
                  <m:r>
                    <m:t>r</m:t>
                  </m:r>
                </m:e>
                <m:sub>
                  <m:r>
                    <m:t>t</m:t>
                  </m:r>
                  <m:r>
                    <m:rPr>
                      <m:sty m:val="p"/>
                    </m:rPr>
                    <m:t>,</m:t>
                  </m:r>
                  <m:r>
                    <m:t>H</m:t>
                  </m:r>
                  <m:r>
                    <m:rPr>
                      <m:sty m:val="p"/>
                    </m:rPr>
                    <m:t>−</m:t>
                  </m:r>
                  <m:r>
                    <m:t>1</m:t>
                  </m:r>
                </m:sub>
                <m:sup>
                  <m:r>
                    <m:rPr>
                      <m:sty m:val="p"/>
                    </m:rPr>
                    <m:t>*</m:t>
                  </m:r>
                </m:sup>
              </m:sSubSup>
              <m:r>
                <m:rPr>
                  <m:sty m:val="p"/>
                </m:rPr>
                <m:t>,</m:t>
              </m:r>
              <m:d>
                <m:dPr>
                  <m:begChr m:val="("/>
                  <m:endChr m:val=")"/>
                  <m:sepChr m:val=""/>
                  <m:grow/>
                </m:dPr>
                <m:e>
                  <m:r>
                    <m:t>0</m:t>
                  </m:r>
                  <m:r>
                    <m:rPr>
                      <m:sty m:val="p"/>
                    </m:rPr>
                    <m:t>,</m:t>
                  </m:r>
                  <m:r>
                    <m:rPr>
                      <m:sty m:val="p"/>
                    </m:rPr>
                    <m:t>−</m:t>
                  </m:r>
                  <m:r>
                    <m:t>1</m:t>
                  </m:r>
                </m:e>
              </m:d>
            </m:e>
          </m:d>
          <m:r>
            <m:rPr>
              <m:sty m:val="p"/>
            </m:rPr>
            <m:t>.</m:t>
          </m:r>
        </m:oMath>
      </m:oMathPara>
    </w:p>
    <w:p>
      <w:pPr>
        <w:pStyle w:val="FirstParagraph"/>
      </w:pPr>
      <w:r>
        <w:t xml:space="preserve">The tail applies geometric steering and full braking. Re-evaluation can replace the retained candidate; prediction error and the uncertified tail preclude importing terminal-set guarantees [2, 6]. Algorithm 1 (Table II) summarizes the decision.</w:t>
      </w:r>
    </w:p>
    <w:bookmarkStart w:id="35" w:name="tab:algorithm"/>
    <w:p>
      <w:pPr>
        <w:pStyle w:val="TableCaption"/>
      </w:pPr>
      <w:r>
        <w:t xml:space="preserve">Table II. </w:t>
      </w:r>
      <w:r>
        <w:t xml:space="preserve">Algorithm 1: one LANS-RISK control decision (frozen actor).</w:t>
      </w:r>
    </w:p>
    <w:tbl>
      <w:tblPr>
        <w:tblStyle w:val="Table"/>
        <w:tblW w:type="auto" w:w="0"/>
        <w:jc w:val="left"/>
        <w:tblLook w:firstRow="1" w:lastRow="0" w:firstColumn="0" w:lastColumn="0" w:noHBand="0" w:noVBand="0" w:val="0020"/>
        <w:tblCaption w:val="Algorithm 1: one LANS-RISK control decision (frozen actor)."/>
      </w:tblPr>
      <w:tblGrid>
        <w:gridCol w:w="3960"/>
        <w:gridCol w:w="3960"/>
      </w:tblGrid>
      <w:tr>
        <w:trPr>
          <w:tblHeader w:val="on"/>
        </w:trPr>
        <w:tc>
          <w:tcPr/>
          <w:p>
            <w:pPr>
              <w:pStyle w:val="Compact"/>
            </w:pPr>
          </w:p>
        </w:tc>
        <w:tc>
          <w:tcPr/>
          <w:p>
            <w:pPr>
              <w:pStyle w:val="Compact"/>
              <w:jc w:val="left"/>
            </w:pPr>
            <w:r>
              <w:rPr>
                <w:b/>
                <w:bCs/>
              </w:rPr>
              <w:t xml:space="preserve">Inputs:</w:t>
            </w:r>
            <w:r>
              <w:t xml:space="preserve"> </w:t>
            </w:r>
            <w:r>
              <w:t xml:space="preserve">observed state, FIFO</w:t>
            </w:r>
            <w:r>
              <w:t xml:space="preserve"> </w:t>
            </w:r>
            <m:oMath>
              <m:sSub>
                <m:e>
                  <m:r>
                    <m:t>q</m:t>
                  </m:r>
                </m:e>
                <m:sub>
                  <m:r>
                    <m:t>t</m:t>
                  </m:r>
                </m:sub>
              </m:sSub>
            </m:oMath>
            <w:r>
              <w:t xml:space="preserve">, PPO action</w:t>
            </w:r>
            <w:r>
              <w:t xml:space="preserve"> </w:t>
            </w:r>
            <m:oMath>
              <m:sSubSup>
                <m:e>
                  <m:r>
                    <m:t>u</m:t>
                  </m:r>
                </m:e>
                <m:sub>
                  <m:r>
                    <m:t>t</m:t>
                  </m:r>
                </m:sub>
                <m:sup>
                  <m:r>
                    <m:t>π</m:t>
                  </m:r>
                </m:sup>
              </m:sSubSup>
            </m:oMath>
            <w:r>
              <w:t xml:space="preserve">, retained plan.</w:t>
            </w:r>
          </w:p>
        </w:tc>
      </w:tr>
      <w:tr>
        <w:tc>
          <w:tcPr/>
          <w:p>
            <w:pPr>
              <w:pStyle w:val="Compact"/>
              <w:jc w:val="right"/>
            </w:pPr>
            <w:r>
              <w:t xml:space="preserve">1</w:t>
            </w:r>
          </w:p>
        </w:tc>
        <w:tc>
          <w:tcPr/>
          <w:p>
            <w:pPr>
              <w:pStyle w:val="Compact"/>
              <w:jc w:val="left"/>
            </w:pPr>
            <w:r>
              <w:t xml:space="preserve">Estimate NPC acceleration; roll out</w:t>
            </w:r>
            <w:r>
              <w:t xml:space="preserve"> </w:t>
            </w:r>
            <m:oMath>
              <m:sSub>
                <m:e>
                  <m:r>
                    <m:t>q</m:t>
                  </m:r>
                </m:e>
                <m:sub>
                  <m:r>
                    <m:t>t</m:t>
                  </m:r>
                </m:sub>
              </m:sSub>
            </m:oMath>
            <w:r>
              <w:t xml:space="preserve"> </w:t>
            </w:r>
            <w:r>
              <w:t xml:space="preserve">to</w:t>
            </w:r>
            <w:r>
              <w:t xml:space="preserve"> </w:t>
            </w:r>
            <m:oMath>
              <m:d>
                <m:dPr>
                  <m:begChr m:val="("/>
                  <m:endChr m:val=")"/>
                  <m:sepChr m:val=""/>
                  <m:grow/>
                </m:dPr>
                <m:e>
                  <m:sSub>
                    <m:e>
                      <m:acc>
                        <m:accPr>
                          <m:chr m:val="‾"/>
                        </m:accPr>
                        <m:e>
                          <m:r>
                            <m:t>x</m:t>
                          </m:r>
                        </m:e>
                      </m:acc>
                    </m:e>
                    <m:sub>
                      <m:r>
                        <m:t>t</m:t>
                      </m:r>
                    </m:sub>
                  </m:sSub>
                  <m:r>
                    <m:rPr>
                      <m:sty m:val="p"/>
                    </m:rPr>
                    <m:t>,</m:t>
                  </m:r>
                  <m:sSub>
                    <m:e>
                      <m:acc>
                        <m:accPr>
                          <m:chr m:val="‾"/>
                        </m:accPr>
                        <m:e>
                          <m:r>
                            <m:t>z</m:t>
                          </m:r>
                        </m:e>
                      </m:acc>
                    </m:e>
                    <m:sub>
                      <m:r>
                        <m:t>t</m:t>
                      </m:r>
                    </m:sub>
                  </m:sSub>
                </m:e>
              </m:d>
            </m:oMath>
            <w:r>
              <w:t xml:space="preserve">; compute transient prefix diagnostics.</w:t>
            </w:r>
          </w:p>
        </w:tc>
      </w:tr>
      <w:tr>
        <w:tc>
          <w:tcPr/>
          <w:p>
            <w:pPr>
              <w:pStyle w:val="Compact"/>
              <w:jc w:val="right"/>
            </w:pPr>
            <w:r>
              <w:t xml:space="preserve">2</w:t>
            </w:r>
          </w:p>
        </w:tc>
        <w:tc>
          <w:tcPr/>
          <w:p>
            <w:pPr>
              <w:pStyle w:val="Compact"/>
              <w:jc w:val="left"/>
            </w:pPr>
            <w:r>
              <w:t xml:space="preserve">Construct cruise, brake, actor-prior and retained candidates; initialize mean and dispersion.</w:t>
            </w:r>
          </w:p>
        </w:tc>
      </w:tr>
      <w:tr>
        <w:tc>
          <w:tcPr/>
          <w:p>
            <w:pPr>
              <w:pStyle w:val="Compact"/>
              <w:jc w:val="right"/>
            </w:pPr>
            <w:r>
              <w:t xml:space="preserve">3</w:t>
            </w:r>
          </w:p>
        </w:tc>
        <w:tc>
          <w:tcPr/>
          <w:p>
            <w:pPr>
              <w:pStyle w:val="Compact"/>
              <w:jc w:val="left"/>
            </w:pPr>
            <w:r>
              <w:t xml:space="preserve">For three rounds: draw 192 plans, insert six explicit candidates, and propagate 30 steps.</w:t>
            </w:r>
          </w:p>
        </w:tc>
      </w:tr>
      <w:tr>
        <w:tc>
          <w:tcPr/>
          <w:p>
            <w:pPr>
              <w:pStyle w:val="Compact"/>
              <w:jc w:val="right"/>
            </w:pPr>
            <w:r>
              <w:t xml:space="preserve">4</w:t>
            </w:r>
          </w:p>
        </w:tc>
        <w:tc>
          <w:tcPr/>
          <w:p>
            <w:pPr>
              <w:pStyle w:val="Compact"/>
              <w:jc w:val="left"/>
            </w:pPr>
            <w:r>
              <w:t xml:space="preserve">Compute</w:t>
            </w:r>
            <w:r>
              <w:t xml:space="preserve"> </w:t>
            </w:r>
            <m:oMath>
              <m:d>
                <m:dPr>
                  <m:begChr m:val="("/>
                  <m:endChr m:val=")"/>
                  <m:sepChr m:val=""/>
                  <m:grow/>
                </m:dPr>
                <m:e>
                  <m:sSub>
                    <m:e>
                      <m:r>
                        <m:t>h</m:t>
                      </m:r>
                    </m:e>
                    <m:sub>
                      <m:r>
                        <m:t>c</m:t>
                      </m:r>
                    </m:sub>
                  </m:sSub>
                  <m:r>
                    <m:rPr>
                      <m:sty m:val="p"/>
                    </m:rPr>
                    <m:t>,</m:t>
                  </m:r>
                  <m:r>
                    <m:t>s</m:t>
                  </m:r>
                  <m:r>
                    <m:rPr>
                      <m:sty m:val="p"/>
                    </m:rPr>
                    <m:t>,</m:t>
                  </m:r>
                  <m:r>
                    <m:rPr>
                      <m:sty m:val="p"/>
                    </m:rPr>
                    <m:t>−</m:t>
                  </m:r>
                  <m:r>
                    <m:t>J</m:t>
                  </m:r>
                </m:e>
              </m:d>
            </m:oMath>
            <w:r>
              <w:t xml:space="preserve">; retain the best plan across rounds. Refit the sampling distribution to 24 elites.</w:t>
            </w:r>
          </w:p>
        </w:tc>
      </w:tr>
      <w:tr>
        <w:tc>
          <w:tcPr/>
          <w:p>
            <w:pPr>
              <w:pStyle w:val="Compact"/>
              <w:jc w:val="right"/>
            </w:pPr>
            <w:r>
              <w:t xml:space="preserve">5</w:t>
            </w:r>
          </w:p>
        </w:tc>
        <w:tc>
          <w:tcPr/>
          <w:p>
            <w:pPr>
              <w:pStyle w:val="Compact"/>
              <w:jc w:val="left"/>
            </w:pPr>
            <w:r>
              <w:t xml:space="preserve">Return the selected first action to the physical FIFO. Shift the selected plan and append</w:t>
            </w:r>
            <w:r>
              <w:t xml:space="preserve"> </w:t>
            </w:r>
            <m:oMath>
              <m:d>
                <m:dPr>
                  <m:begChr m:val="("/>
                  <m:endChr m:val=")"/>
                  <m:sepChr m:val=""/>
                  <m:grow/>
                </m:dPr>
                <m:e>
                  <m:r>
                    <m:t>0</m:t>
                  </m:r>
                  <m:r>
                    <m:rPr>
                      <m:sty m:val="p"/>
                    </m:rPr>
                    <m:t>,</m:t>
                  </m:r>
                  <m:r>
                    <m:rPr>
                      <m:sty m:val="p"/>
                    </m:rPr>
                    <m:t>−</m:t>
                  </m:r>
                  <m:r>
                    <m:t>1</m:t>
                  </m:r>
                </m:e>
              </m:d>
            </m:oMath>
            <w:r>
              <w:t xml:space="preserve">.</w:t>
            </w:r>
          </w:p>
        </w:tc>
      </w:tr>
      <w:tr>
        <w:tc>
          <w:tcPr/>
          <w:p>
            <w:pPr>
              <w:pStyle w:val="Compact"/>
              <w:jc w:val="right"/>
            </w:pPr>
            <w:r>
              <w:t xml:space="preserve">6</w:t>
            </w:r>
          </w:p>
        </w:tc>
        <w:tc>
          <w:tcPr/>
          <w:p>
            <w:pPr>
              <w:pStyle w:val="Compact"/>
              <w:jc w:val="left"/>
            </w:pPr>
            <w:r>
              <w:t xml:space="preserve">Update transient forecast diagnostics; repeat at the next observation.</w:t>
            </w:r>
          </w:p>
        </w:tc>
      </w:tr>
    </w:tbl>
    <w:bookmarkEnd w:id="35"/>
    <w:bookmarkEnd w:id="36"/>
    <w:bookmarkStart w:id="43" w:name="matched-component-removals"/>
    <w:p>
      <w:pPr>
        <w:pStyle w:val="Heading2"/>
      </w:pPr>
      <w:r>
        <w:t xml:space="preserve">Matched Component Removals</w:t>
      </w:r>
    </w:p>
    <w:p>
      <w:pPr>
        <w:pStyle w:val="FirstParagraph"/>
      </w:pPr>
      <w:r>
        <w:t xml:space="preserve">The no-prediction variant skips only the internal queue rollout; the real FIFO, actor and search remain active. The no-actor variant uses the analytical cruise proposal and sets the actor-distance weight to zero, retaining prediction, ranking and plan retention. PPO-only removes the complete supervisor and uses only the legacy policy features. Accordingly, the first two are component removals, whereas the PPO-only contrast tests a bundle. No removal establishes a claim about all prediction methods or all learned policies.</w:t>
      </w:r>
    </w:p>
    <w:p>
      <w:pPr>
        <w:pStyle w:val="CaptionedFigure"/>
      </w:pPr>
      <w:r>
        <w:drawing>
          <wp:inline>
            <wp:extent cx="5334000" cy="2498706"/>
            <wp:effectExtent b="0" l="0" r="0" t="0"/>
            <wp:docPr descr="" title="" id="38" name="Picture"/>
            <a:graphic>
              <a:graphicData uri="http://schemas.openxmlformats.org/drawingml/2006/picture">
                <pic:pic>
                  <pic:nvPicPr>
                    <pic:cNvPr descr="figures/confirmation.png" id="39" name="Picture"/>
                    <pic:cNvPicPr>
                      <a:picLocks noChangeArrowheads="1" noChangeAspect="1"/>
                    </pic:cNvPicPr>
                  </pic:nvPicPr>
                  <pic:blipFill>
                    <a:blip r:embed="rId37"/>
                    <a:stretch>
                      <a:fillRect/>
                    </a:stretch>
                  </pic:blipFill>
                  <pic:spPr bwMode="auto">
                    <a:xfrm>
                      <a:off x="0" y="0"/>
                      <a:ext cx="5334000" cy="2498706"/>
                    </a:xfrm>
                    <a:prstGeom prst="rect">
                      <a:avLst/>
                    </a:prstGeom>
                    <a:noFill/>
                    <a:ln w="9525">
                      <a:noFill/>
                      <a:headEnd/>
                      <a:tailEnd/>
                    </a:ln>
                  </pic:spPr>
                </pic:pic>
              </a:graphicData>
            </a:graphic>
          </wp:inline>
        </w:drawing>
      </w:r>
    </w:p>
    <w:p>
      <w:pPr>
        <w:pStyle w:val="ImageCaption"/>
      </w:pPr>
      <w:r>
        <w:t xml:space="preserve">Fig. 2. </w:t>
      </w:r>
      <w:r>
        <w:t xml:space="preserve">All 12 controllers: colored solid curves show corridor completion; black dashed curves show collisions. Descriptive averages over scenarios/actors match Table III. Separate panels keep coincident controller curves visible.</w:t>
      </w:r>
    </w:p>
    <w:p>
      <w:pPr>
        <w:pStyle w:val="CaptionedFigure"/>
      </w:pPr>
      <w:r>
        <w:drawing>
          <wp:inline>
            <wp:extent cx="5334000" cy="3244836"/>
            <wp:effectExtent b="0" l="0" r="0" t="0"/>
            <wp:docPr descr="" title="" id="41" name="Picture"/>
            <a:graphic>
              <a:graphicData uri="http://schemas.openxmlformats.org/drawingml/2006/picture">
                <pic:pic>
                  <pic:nvPicPr>
                    <pic:cNvPr descr="figures/scenario_core.png" id="42" name="Picture"/>
                    <pic:cNvPicPr>
                      <a:picLocks noChangeArrowheads="1" noChangeAspect="1"/>
                    </pic:cNvPicPr>
                  </pic:nvPicPr>
                  <pic:blipFill>
                    <a:blip r:embed="rId40"/>
                    <a:stretch>
                      <a:fillRect/>
                    </a:stretch>
                  </pic:blipFill>
                  <pic:spPr bwMode="auto">
                    <a:xfrm>
                      <a:off x="0" y="0"/>
                      <a:ext cx="5334000" cy="3244836"/>
                    </a:xfrm>
                    <a:prstGeom prst="rect">
                      <a:avLst/>
                    </a:prstGeom>
                    <a:noFill/>
                    <a:ln w="9525">
                      <a:noFill/>
                      <a:headEnd/>
                      <a:tailEnd/>
                    </a:ln>
                  </pic:spPr>
                </pic:pic>
              </a:graphicData>
            </a:graphic>
          </wp:inline>
        </w:drawing>
      </w:r>
    </w:p>
    <w:p>
      <w:pPr>
        <w:pStyle w:val="ImageCaption"/>
      </w:pPr>
      <w:r>
        <w:t xml:space="preserve">Fig. 3. </w:t>
      </w:r>
      <w:r>
        <w:t xml:space="preserve">Scenario-specific focused comparisons. Solid color: corridor completion; black dashed: collision. Shading spans actor minimum–maximum, not a confidence interval; dotted lines mark 90% completion. Lines connect measured points as visual guides. Separate rows expose coincident outcomes. All 12 methods’ scenario plots are supplied separately.</w:t>
      </w:r>
    </w:p>
    <w:bookmarkEnd w:id="43"/>
    <w:bookmarkEnd w:id="44"/>
    <w:bookmarkStart w:id="52" w:name="experimental-protocol"/>
    <w:p>
      <w:pPr>
        <w:pStyle w:val="Heading1"/>
      </w:pPr>
      <w:r>
        <w:t xml:space="preserve">Experimental Protocol</w:t>
      </w:r>
    </w:p>
    <w:bookmarkStart w:id="46" w:name="frozen-confirmation-and-conference-scope"/>
    <w:p>
      <w:pPr>
        <w:pStyle w:val="Heading2"/>
      </w:pPr>
      <w:r>
        <w:t xml:space="preserve">Frozen Confirmation and Conference Scope</w:t>
      </w:r>
    </w:p>
    <w:p>
      <w:pPr>
        <w:pStyle w:val="FirstParagraph"/>
      </w:pPr>
      <w:r>
        <w:t xml:space="preserve">The main confirmation contains 12 controllers on four scenarios and delays of 0, 200, 500, 700 and 1,000 ms. The core comparison uses LANS-RISK, nominal MPC, PPO-only, no prediction and no actor. The full delay table also includes standalone LQR, LQR with adaptive cruise control (ACC), predictor LQR, a numerical delay-CBF filter, robust LANS, robust MPC and robust no actor. These are the project’s implemented baselines, not reproductions of the cited external algorithms.</w:t>
      </w:r>
    </w:p>
    <w:p>
      <w:pPr>
        <w:pStyle w:val="BodyText"/>
      </w:pPr>
      <w:r>
        <w:t xml:space="preserve">LQR variants use analytical feedback; predictor LQR adds queue prediction. Delay CBF filters the PPO proposal using numerical braking-distance constraints. The three</w:t>
      </w:r>
      <w:r>
        <w:t xml:space="preserve"> </w:t>
      </w:r>
      <w:r>
        <w:t xml:space="preserve">“</w:t>
      </w:r>
      <w:r>
        <w:t xml:space="preserve">robust</w:t>
      </w:r>
      <w:r>
        <w:t xml:space="preserve">”</w:t>
      </w:r>
      <w:r>
        <w:t xml:space="preserve"> </w:t>
      </w:r>
      <w:r>
        <w:t xml:space="preserve">variants sample three NPC-acceleration forecasts (nominal and</w:t>
      </w:r>
      <w:r>
        <w:t xml:space="preserve"> </w:t>
      </w:r>
      <m:oMath>
        <m:r>
          <m:rPr>
            <m:sty m:val="p"/>
          </m:rPr>
          <m:t>±</m:t>
        </m:r>
        <m:r>
          <m:t>1</m:t>
        </m:r>
      </m:oMath>
      <w:r>
        <w:t xml:space="preserve"> m/s</w:t>
      </w:r>
      <m:oMath>
        <m:sSup>
          <m:e>
            <m:r>
              <m:t>​</m:t>
            </m:r>
          </m:e>
          <m:sup>
            <m:r>
              <m:t>2</m:t>
            </m:r>
          </m:sup>
        </m:sSup>
      </m:oMath>
      <w:r>
        <w:t xml:space="preserve"> </w:t>
      </w:r>
      <w:r>
        <w:t xml:space="preserve">offsets before clipping), with 96 candidates per round. Robust MPC removes the actor and exact retained-trajectory handover; robust no actor preserves that handover. The label</w:t>
      </w:r>
      <w:r>
        <w:t xml:space="preserve"> </w:t>
      </w:r>
      <w:r>
        <w:t xml:space="preserve">“</w:t>
      </w:r>
      <w:r>
        <w:t xml:space="preserve">robust</w:t>
      </w:r>
      <w:r>
        <w:t xml:space="preserve">”</w:t>
      </w:r>
      <w:r>
        <w:t xml:space="preserve"> </w:t>
      </w:r>
      <w:r>
        <w:t xml:space="preserve">denotes this implemented scenario construction, not a formal robust-control guarantee. These variants do not share the nominal pair’s full sampling budget.</w:t>
      </w:r>
    </w:p>
    <w:p>
      <w:pPr>
        <w:pStyle w:val="BodyText"/>
      </w:pPr>
      <w:r>
        <w:t xml:space="preserve">Policies are loaded with Stable-Baselines3 [18]. Five actor-dependent variants use frozen seeds 42/43/44, and seven actor-free variants run once per condition. Each uses the same 100 traffic seeds, 141000–141099, yielding</w:t>
      </w:r>
      <w:r>
        <w:t xml:space="preserve"> </w:t>
      </w:r>
      <m:oMath>
        <m:r>
          <m:t>4</m:t>
        </m:r>
        <m:r>
          <m:rPr>
            <m:sty m:val="p"/>
          </m:rPr>
          <m:t>×</m:t>
        </m:r>
        <m:r>
          <m:t>5</m:t>
        </m:r>
        <m:r>
          <m:rPr>
            <m:sty m:val="p"/>
          </m:rPr>
          <m:t>×</m:t>
        </m:r>
        <m:d>
          <m:dPr>
            <m:begChr m:val="("/>
            <m:endChr m:val=")"/>
            <m:sepChr m:val=""/>
            <m:grow/>
          </m:dPr>
          <m:e>
            <m:r>
              <m:t>5</m:t>
            </m:r>
            <m:r>
              <m:rPr>
                <m:sty m:val="p"/>
              </m:rPr>
              <m:t>×</m:t>
            </m:r>
            <m:r>
              <m:t>3</m:t>
            </m:r>
            <m:r>
              <m:rPr>
                <m:sty m:val="p"/>
              </m:rPr>
              <m:t>+</m:t>
            </m:r>
            <m:r>
              <m:t>7</m:t>
            </m:r>
          </m:e>
        </m:d>
        <m:r>
          <m:rPr>
            <m:sty m:val="p"/>
          </m:rPr>
          <m:t>×</m:t>
        </m:r>
        <m:r>
          <m:t>100</m:t>
        </m:r>
        <m:r>
          <m:rPr>
            <m:sty m:val="p"/>
          </m:rPr>
          <m:t>=</m:t>
        </m:r>
        <m:r>
          <m:t>44</m:t>
        </m:r>
        <m:r>
          <m:rPr>
            <m:sty m:val="p"/>
          </m:rPr>
          <m:t>,</m:t>
        </m:r>
        <m:r>
          <m:t>000</m:t>
        </m:r>
      </m:oMath>
      <w:r>
        <w:t xml:space="preserve"> </w:t>
      </w:r>
      <w:r>
        <w:t xml:space="preserve">records in 440 conditions. Repeated actors reuse cases; the records are not independent pooled replicates. Development seeds are disjoint. No confirmation retraining or tuning occurred. Artifacts and the methods supplement are available at</w:t>
      </w:r>
      <w:r>
        <w:t xml:space="preserve"> </w:t>
      </w:r>
      <w:hyperlink r:id="rId45">
        <w:r>
          <w:rPr>
            <w:rStyle w:val="Hyperlink"/>
          </w:rPr>
          <w:t xml:space="preserve">https://github.com/rizwanalihasalivi/LANS-RISK/tree/integration/aris-frozen-workflow/conference_downloads/v5</w:t>
        </w:r>
      </w:hyperlink>
      <w:r>
        <w:t xml:space="preserve">. This article uses only the original main protocol, not the separate dense-Merge robustness amendment. The full-table presentation and focused contrasts were selected after evaluation and are not a separately preregistered analysis.</w:t>
      </w:r>
    </w:p>
    <w:bookmarkEnd w:id="46"/>
    <w:bookmarkStart w:id="47" w:name="nominal-mpc-comparison"/>
    <w:p>
      <w:pPr>
        <w:pStyle w:val="Heading2"/>
      </w:pPr>
      <w:r>
        <w:t xml:space="preserve">Nominal MPC Comparison</w:t>
      </w:r>
    </w:p>
    <w:p>
      <w:pPr>
        <w:pStyle w:val="FirstParagraph"/>
      </w:pPr>
      <w:r>
        <w:t xml:space="preserve">The nominal MPC shares the plant, structured state information, physical FIFO, action bounds, reference-speed ceiling, observed-acceleration predictor, 30-step horizon, and three rounds of 192 candidates. It uses a block-parameterized plan and its own cost ranking, warm start, and fallback. LANS-RISK differs in actor use, trajectory retention/representation, and ranking/objective details. Thus, the comparison matches important resources and information but is not a one-variable algorithmic ablation. Equal candidate counts also do not establish equal runtime; no computational superiority claim is made here.</w:t>
      </w:r>
    </w:p>
    <w:bookmarkEnd w:id="47"/>
    <w:bookmarkStart w:id="51" w:name="metrics-and-statistical-analysis"/>
    <w:p>
      <w:pPr>
        <w:pStyle w:val="Heading2"/>
      </w:pPr>
      <w:r>
        <w:t xml:space="preserve">Metrics and Statistical Analysis</w:t>
      </w:r>
    </w:p>
    <w:p>
      <w:pPr>
        <w:pStyle w:val="FirstParagraph"/>
      </w:pPr>
      <w:r>
        <w:t xml:space="preserve">Collision detection tests disc overlap at sampled 0.1 s states. Route completion requires reaching the goal and remaining collision-free for the episode. Corridor completion additionally requires</w:t>
      </w:r>
      <w:r>
        <w:t xml:space="preserve"> </w:t>
      </w:r>
      <m:oMath>
        <m:d>
          <m:dPr>
            <m:begChr m:val="|"/>
            <m:endChr m:val="|"/>
            <m:sepChr m:val=""/>
            <m:grow/>
          </m:dPr>
          <m:e>
            <m:sSub>
              <m:e>
                <m:r>
                  <m:t>e</m:t>
                </m:r>
              </m:e>
              <m:sub>
                <m:r>
                  <m:t>t</m:t>
                </m:r>
              </m:sub>
            </m:sSub>
          </m:e>
        </m:d>
        <m:r>
          <m:rPr>
            <m:sty m:val="p"/>
          </m:rPr>
          <m:t>≤</m:t>
        </m:r>
        <m:r>
          <m:t>1.75</m:t>
        </m:r>
      </m:oMath>
      <w:r>
        <w:t xml:space="preserve"> m at every recorded step. Episode tracking error is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e</m:t>
                      </m:r>
                    </m:e>
                    <m:sub>
                      <m:r>
                        <m:t>t</m:t>
                      </m:r>
                    </m:sub>
                    <m:sup>
                      <m:r>
                        <m:t>2</m:t>
                      </m:r>
                    </m:sup>
                  </m:sSubSup>
                </m:e>
              </m:nary>
            </m:e>
          </m:rad>
          <m:r>
            <m:rPr>
              <m:sty m:val="p"/>
            </m:rPr>
            <m:t>.</m:t>
          </m:r>
        </m:oMath>
      </m:oMathPara>
    </w:p>
    <w:p>
      <w:pPr>
        <w:pStyle w:val="FirstParagraph"/>
      </w:pPr>
      <w:r>
        <w:t xml:space="preserve">This is conventional episode RMSE, not the failure-penalized metric in the supplied LANS path-tracking manuscript. Since collisions can shorten an episode, RMSE is interpreted together with collision and completion outcomes.</w:t>
      </w:r>
    </w:p>
    <w:p>
      <w:pPr>
        <w:pStyle w:val="BodyText"/>
      </w:pPr>
      <w:r>
        <w:t xml:space="preserve">To avoid treating repeated runs or selected aggregate scores as conclusive RL evidence [19], actor-level inference and paired traffic cases are preserved. Binary rate uncertainty uses per-condition Wilson 95% intervals. Supported continuous-mean and paired-difference intervals use 5,000 traffic-case bootstrap draws. Binary comparisons use exact paired-discordance tests; RMSE uses two-sided Wilcoxon signed-rank tests with the usual symmetry assumption for a location interpretation. We retain Holm correction [20] over all 3,440 contrasts/outcomes in the parent main-confirmation analysis, including comparisons not discussed individually here. Correction is not recomputed on a favorable selected subset. Actor-seed results remain separate for inference. Aggregate displays weight scenarios equally, with 400 records per actor-free method/delay and 1,200 for actor-dependent methods. Pooling is descriptive; inference remains within actor/scenario conditions.</w:t>
      </w:r>
    </w:p>
    <w:p>
      <w:pPr>
        <w:pStyle w:val="BodyText"/>
      </w:pPr>
      <w:r>
        <w:t xml:space="preserve">The empirical delay threshold is the largest tested delay for which collision rate is at most 1% and corridor completion is at least 90% at that delay and every lower grid point. It is a finite-grid endpoint, not a continuous-delay stability bound. A passing value of 1,000 ms is right-censored by the tested grid. Even zero observed collisions in 100 cases has a Wilson 95% upper bound near 3.7%, so passing does not establish a population collision probability below 1%.</w:t>
      </w:r>
    </w:p>
    <w:p>
      <w:pPr>
        <w:pStyle w:val="CaptionedFigure"/>
      </w:pPr>
      <w:r>
        <w:drawing>
          <wp:inline>
            <wp:extent cx="5334000" cy="1268420"/>
            <wp:effectExtent b="0" l="0" r="0" t="0"/>
            <wp:docPr descr="" title="" id="49" name="Picture"/>
            <a:graphic>
              <a:graphicData uri="http://schemas.openxmlformats.org/drawingml/2006/picture">
                <pic:pic>
                  <pic:nvPicPr>
                    <pic:cNvPr descr="figures/latency_thresholds.png" id="50" name="Picture"/>
                    <pic:cNvPicPr>
                      <a:picLocks noChangeArrowheads="1" noChangeAspect="1"/>
                    </pic:cNvPicPr>
                  </pic:nvPicPr>
                  <pic:blipFill>
                    <a:blip r:embed="rId48"/>
                    <a:stretch>
                      <a:fillRect/>
                    </a:stretch>
                  </pic:blipFill>
                  <pic:spPr bwMode="auto">
                    <a:xfrm>
                      <a:off x="0" y="0"/>
                      <a:ext cx="5334000" cy="1268420"/>
                    </a:xfrm>
                    <a:prstGeom prst="rect">
                      <a:avLst/>
                    </a:prstGeom>
                    <a:noFill/>
                    <a:ln w="9525">
                      <a:noFill/>
                      <a:headEnd/>
                      <a:tailEnd/>
                    </a:ln>
                  </pic:spPr>
                </pic:pic>
              </a:graphicData>
            </a:graphic>
          </wp:inline>
        </w:drawing>
      </w:r>
    </w:p>
    <w:p>
      <w:pPr>
        <w:pStyle w:val="ImageCaption"/>
      </w:pPr>
      <w:r>
        <w:t xml:space="preserve">Fig. 4. </w:t>
      </w:r>
      <w:r>
        <w:t xml:space="preserve">Empirical passing-delay endpoints for the five focused methods. Vertically separated points denote actors without shifting delay values; right triangles mark upper-grid censoring. Crosses left of zero mean no passing grid point (NP), not negative delay. These are not runtime measurements or certified bounds.</w:t>
      </w:r>
    </w:p>
    <w:bookmarkEnd w:id="51"/>
    <w:bookmarkEnd w:id="52"/>
    <w:bookmarkStart w:id="61" w:name="results"/>
    <w:p>
      <w:pPr>
        <w:pStyle w:val="Heading1"/>
      </w:pPr>
      <w:r>
        <w:t xml:space="preserve">Results</w:t>
      </w:r>
    </w:p>
    <w:bookmarkStart w:id="57" w:name="lans-risk-versus-nominal-mpc"/>
    <w:p>
      <w:pPr>
        <w:pStyle w:val="Heading2"/>
      </w:pPr>
      <w:r>
        <w:t xml:space="preserve">LANS-RISK versus Nominal MPC</w:t>
      </w:r>
    </w:p>
    <w:p>
      <w:pPr>
        <w:pStyle w:val="FirstParagraph"/>
      </w:pPr>
      <w:r>
        <w:t xml:space="preserve">All three LANS-RISK actors and nominal MPC attain the same observed contiguous passing thresholds: Highway 1,000 ms, Merge 700 ms, Intersection 1,000 ms, and Roundabout 500 ms. Table V and Fig. 4 summarize these endpoints; no delay-threshold advantage is established. Table III reports every tested delay, and Fig. 2 shows all controller profiles. Identical thresholds should not be read as statistical equivalence or identical episode trajectories.</w:t>
      </w:r>
    </w:p>
    <w:p>
      <w:pPr>
        <w:pStyle w:val="BodyText"/>
      </w:pPr>
      <w:r>
        <w:t xml:space="preserve">At 1,000 ms (Table IV), LANS-RISK has lower mean RMSE on Merge/Roundabout and MPC on Highway/Intersection; both have poor corridor completion on Merge/Roundabout. For Merge, actor 42 has 35/100 completions (Wilson 95%: 26.4–44.7%) versus MPC’s 34/100 (25.5–43.7%). These marginal intervals do not test equivalence.</w:t>
      </w:r>
    </w:p>
    <w:p>
      <w:pPr>
        <w:pStyle w:val="BodyText"/>
      </w:pPr>
      <w:r>
        <w:t xml:space="preserve">Figure 3 separates scenario-specific outcomes. The full-grid table also exposes weak baselines: LQR has only 60/400 corridor completions at zero delay despite a mean RMSE of 0.039 m. Early collision termination can produce deceptively small tracking errors; Fig. 2 therefore retains collisions alongside completion.</w:t>
      </w:r>
    </w:p>
    <w:p>
      <w:pPr>
        <w:pStyle w:val="BodyText"/>
      </w:pPr>
      <w:r>
        <w:t xml:space="preserve">Across the 60 per-actor/scenario/delay LANS–MPC corridor-completion contrasts, nine have a positive LANS-minus-MPC mean difference, none has a negative mean difference, and none is significant after the retained study-wide Holm correction. Absence of significance is not a non-inferiority or equivalence result. We did not specify an equivalence margin or conduct a dedicated equivalence design.</w:t>
      </w:r>
    </w:p>
    <w:bookmarkStart w:id="53" w:name="tab:delaygrid"/>
    <w:p>
      <w:pPr>
        <w:pStyle w:val="TableCaption"/>
      </w:pPr>
      <w:r>
        <w:t xml:space="preserve">Table III (a).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LANS-RISK</w:t>
            </w:r>
          </w:p>
        </w:tc>
        <w:tc>
          <w:tcPr/>
          <w:p>
            <w:pPr>
              <w:pStyle w:val="Compact"/>
              <w:jc w:val="center"/>
            </w:pPr>
            <w:r>
              <w:t xml:space="preserve">Nominal MPC</w:t>
            </w:r>
          </w:p>
        </w:tc>
        <w:tc>
          <w:tcPr/>
          <w:p>
            <w:pPr>
              <w:pStyle w:val="Compact"/>
              <w:jc w:val="center"/>
            </w:pPr>
            <w:r>
              <w:t xml:space="preserve">LQR</w:t>
            </w:r>
          </w:p>
        </w:tc>
        <w:tc>
          <w:tcPr/>
          <w:p>
            <w:pPr>
              <w:pStyle w:val="Compact"/>
              <w:jc w:val="center"/>
            </w:pPr>
            <w:r>
              <w:t xml:space="preserve">LQR + ACC</w:t>
            </w:r>
          </w:p>
        </w:tc>
        <w:tc>
          <w:tcPr/>
          <w:p>
            <w:pPr>
              <w:pStyle w:val="Compact"/>
              <w:jc w:val="center"/>
            </w:pPr>
            <w:r>
              <w:t xml:space="preserve">Predictor LQR</w:t>
            </w:r>
          </w:p>
        </w:tc>
        <w:tc>
          <w:tcPr/>
          <w:p>
            <w:pPr>
              <w:pStyle w:val="Compact"/>
              <w:jc w:val="center"/>
            </w:pPr>
            <w:r>
              <w:t xml:space="preserve">PPO only</w:t>
            </w:r>
          </w:p>
        </w:tc>
      </w:tr>
      <w:tr>
        <w:tc>
          <w:tcPr/>
          <w:p>
            <w:pPr>
              <w:pStyle w:val="Compact"/>
              <w:jc w:val="right"/>
            </w:pPr>
            <w:r>
              <w:t xml:space="preserve">0</w:t>
            </w:r>
          </w:p>
        </w:tc>
        <w:tc>
          <w:tcPr/>
          <w:p>
            <w:pPr>
              <w:pStyle w:val="Compact"/>
              <w:jc w:val="center"/>
            </w:pPr>
            <w:r>
              <w:t xml:space="preserve">0.063; 1200/1200</w:t>
            </w:r>
          </w:p>
        </w:tc>
        <w:tc>
          <w:tcPr/>
          <w:p>
            <w:pPr>
              <w:pStyle w:val="Compact"/>
              <w:jc w:val="center"/>
            </w:pPr>
            <w:r>
              <w:t xml:space="preserve">0.028; 400/400</w:t>
            </w:r>
          </w:p>
        </w:tc>
        <w:tc>
          <w:tcPr/>
          <w:p>
            <w:pPr>
              <w:pStyle w:val="Compact"/>
              <w:jc w:val="center"/>
            </w:pPr>
            <w:r>
              <w:t xml:space="preserve">0.039; 60/400</w:t>
            </w:r>
          </w:p>
        </w:tc>
        <w:tc>
          <w:tcPr/>
          <w:p>
            <w:pPr>
              <w:pStyle w:val="Compact"/>
              <w:jc w:val="center"/>
            </w:pPr>
            <w:r>
              <w:t xml:space="preserve">0.019; 360/400</w:t>
            </w:r>
          </w:p>
        </w:tc>
        <w:tc>
          <w:tcPr/>
          <w:p>
            <w:pPr>
              <w:pStyle w:val="Compact"/>
              <w:jc w:val="center"/>
            </w:pPr>
            <w:r>
              <w:t xml:space="preserve">0.019; 360/400</w:t>
            </w:r>
          </w:p>
        </w:tc>
        <w:tc>
          <w:tcPr/>
          <w:p>
            <w:pPr>
              <w:pStyle w:val="Compact"/>
              <w:jc w:val="center"/>
            </w:pPr>
            <w:r>
              <w:t xml:space="preserve">0.402; 1127/1200</w:t>
            </w:r>
          </w:p>
        </w:tc>
      </w:tr>
      <w:tr>
        <w:tc>
          <w:tcPr/>
          <w:p>
            <w:pPr>
              <w:pStyle w:val="Compact"/>
              <w:jc w:val="right"/>
            </w:pPr>
            <w:r>
              <w:t xml:space="preserve">200</w:t>
            </w:r>
          </w:p>
        </w:tc>
        <w:tc>
          <w:tcPr/>
          <w:p>
            <w:pPr>
              <w:pStyle w:val="Compact"/>
              <w:jc w:val="center"/>
            </w:pPr>
            <w:r>
              <w:t xml:space="preserve">0.066; 1200/1200</w:t>
            </w:r>
          </w:p>
        </w:tc>
        <w:tc>
          <w:tcPr/>
          <w:p>
            <w:pPr>
              <w:pStyle w:val="Compact"/>
              <w:jc w:val="center"/>
            </w:pPr>
            <w:r>
              <w:t xml:space="preserve">0.031; 400/400</w:t>
            </w:r>
          </w:p>
        </w:tc>
        <w:tc>
          <w:tcPr/>
          <w:p>
            <w:pPr>
              <w:pStyle w:val="Compact"/>
              <w:jc w:val="center"/>
            </w:pPr>
            <w:r>
              <w:t xml:space="preserve">0.448; 59/400</w:t>
            </w:r>
          </w:p>
        </w:tc>
        <w:tc>
          <w:tcPr/>
          <w:p>
            <w:pPr>
              <w:pStyle w:val="Compact"/>
              <w:jc w:val="center"/>
            </w:pPr>
            <w:r>
              <w:t xml:space="preserve">0.234; 302/400</w:t>
            </w:r>
          </w:p>
        </w:tc>
        <w:tc>
          <w:tcPr/>
          <w:p>
            <w:pPr>
              <w:pStyle w:val="Compact"/>
              <w:jc w:val="center"/>
            </w:pPr>
            <w:r>
              <w:t xml:space="preserve">0.019; 358/400</w:t>
            </w:r>
          </w:p>
        </w:tc>
        <w:tc>
          <w:tcPr/>
          <w:p>
            <w:pPr>
              <w:pStyle w:val="Compact"/>
              <w:jc w:val="center"/>
            </w:pPr>
            <w:r>
              <w:t xml:space="preserve">1.787; 413/1200</w:t>
            </w:r>
          </w:p>
        </w:tc>
      </w:tr>
      <w:tr>
        <w:tc>
          <w:tcPr/>
          <w:p>
            <w:pPr>
              <w:pStyle w:val="Compact"/>
              <w:jc w:val="right"/>
            </w:pPr>
            <w:r>
              <w:t xml:space="preserve">500</w:t>
            </w:r>
          </w:p>
        </w:tc>
        <w:tc>
          <w:tcPr/>
          <w:p>
            <w:pPr>
              <w:pStyle w:val="Compact"/>
              <w:jc w:val="center"/>
            </w:pPr>
            <w:r>
              <w:t xml:space="preserve">0.115; 1197/1200</w:t>
            </w:r>
          </w:p>
        </w:tc>
        <w:tc>
          <w:tcPr/>
          <w:p>
            <w:pPr>
              <w:pStyle w:val="Compact"/>
              <w:jc w:val="center"/>
            </w:pPr>
            <w:r>
              <w:t xml:space="preserve">0.092; 399/400</w:t>
            </w:r>
          </w:p>
        </w:tc>
        <w:tc>
          <w:tcPr/>
          <w:p>
            <w:pPr>
              <w:pStyle w:val="Compact"/>
              <w:jc w:val="center"/>
            </w:pPr>
            <w:r>
              <w:t xml:space="preserve">1.726; 59/400</w:t>
            </w:r>
          </w:p>
        </w:tc>
        <w:tc>
          <w:tcPr/>
          <w:p>
            <w:pPr>
              <w:pStyle w:val="Compact"/>
              <w:jc w:val="center"/>
            </w:pPr>
            <w:r>
              <w:t xml:space="preserve">2.080; 159/400</w:t>
            </w:r>
          </w:p>
        </w:tc>
        <w:tc>
          <w:tcPr/>
          <w:p>
            <w:pPr>
              <w:pStyle w:val="Compact"/>
              <w:jc w:val="center"/>
            </w:pPr>
            <w:r>
              <w:t xml:space="preserve">0.093; 352/400</w:t>
            </w:r>
          </w:p>
        </w:tc>
        <w:tc>
          <w:tcPr/>
          <w:p>
            <w:pPr>
              <w:pStyle w:val="Compact"/>
              <w:jc w:val="center"/>
            </w:pPr>
            <w:r>
              <w:t xml:space="preserve">8.739; 5/1200</w:t>
            </w:r>
          </w:p>
        </w:tc>
      </w:tr>
      <w:tr>
        <w:tc>
          <w:tcPr/>
          <w:p>
            <w:pPr>
              <w:pStyle w:val="Compact"/>
              <w:jc w:val="right"/>
            </w:pPr>
            <w:r>
              <w:t xml:space="preserve">700</w:t>
            </w:r>
          </w:p>
        </w:tc>
        <w:tc>
          <w:tcPr/>
          <w:p>
            <w:pPr>
              <w:pStyle w:val="Compact"/>
              <w:jc w:val="center"/>
            </w:pPr>
            <w:r>
              <w:t xml:space="preserve">0.192; 969/1200</w:t>
            </w:r>
          </w:p>
        </w:tc>
        <w:tc>
          <w:tcPr/>
          <w:p>
            <w:pPr>
              <w:pStyle w:val="Compact"/>
              <w:jc w:val="center"/>
            </w:pPr>
            <w:r>
              <w:t xml:space="preserve">0.174; 320/400</w:t>
            </w:r>
          </w:p>
        </w:tc>
        <w:tc>
          <w:tcPr/>
          <w:p>
            <w:pPr>
              <w:pStyle w:val="Compact"/>
              <w:jc w:val="center"/>
            </w:pPr>
            <w:r>
              <w:t xml:space="preserve">2.261; 59/400</w:t>
            </w:r>
          </w:p>
        </w:tc>
        <w:tc>
          <w:tcPr/>
          <w:p>
            <w:pPr>
              <w:pStyle w:val="Compact"/>
              <w:jc w:val="center"/>
            </w:pPr>
            <w:r>
              <w:t xml:space="preserve">2.369; 159/400</w:t>
            </w:r>
          </w:p>
        </w:tc>
        <w:tc>
          <w:tcPr/>
          <w:p>
            <w:pPr>
              <w:pStyle w:val="Compact"/>
              <w:jc w:val="center"/>
            </w:pPr>
            <w:r>
              <w:t xml:space="preserve">0.202; 263/400</w:t>
            </w:r>
          </w:p>
        </w:tc>
        <w:tc>
          <w:tcPr/>
          <w:p>
            <w:pPr>
              <w:pStyle w:val="Compact"/>
              <w:jc w:val="center"/>
            </w:pPr>
            <w:r>
              <w:t xml:space="preserve">12.440; 0/1200</w:t>
            </w:r>
          </w:p>
        </w:tc>
      </w:tr>
      <w:tr>
        <w:tc>
          <w:tcPr/>
          <w:p>
            <w:pPr>
              <w:pStyle w:val="Compact"/>
              <w:jc w:val="right"/>
            </w:pPr>
            <w:r>
              <w:t xml:space="preserve">1000</w:t>
            </w:r>
          </w:p>
        </w:tc>
        <w:tc>
          <w:tcPr/>
          <w:p>
            <w:pPr>
              <w:pStyle w:val="Compact"/>
              <w:jc w:val="center"/>
            </w:pPr>
            <w:r>
              <w:t xml:space="preserve">0.357; 702/1200</w:t>
            </w:r>
          </w:p>
        </w:tc>
        <w:tc>
          <w:tcPr/>
          <w:p>
            <w:pPr>
              <w:pStyle w:val="Compact"/>
              <w:jc w:val="center"/>
            </w:pPr>
            <w:r>
              <w:t xml:space="preserve">0.353; 233/400</w:t>
            </w:r>
          </w:p>
        </w:tc>
        <w:tc>
          <w:tcPr/>
          <w:p>
            <w:pPr>
              <w:pStyle w:val="Compact"/>
              <w:jc w:val="center"/>
            </w:pPr>
            <w:r>
              <w:t xml:space="preserve">5.232; 58/400</w:t>
            </w:r>
          </w:p>
        </w:tc>
        <w:tc>
          <w:tcPr/>
          <w:p>
            <w:pPr>
              <w:pStyle w:val="Compact"/>
              <w:jc w:val="center"/>
            </w:pPr>
            <w:r>
              <w:t xml:space="preserve">5.102; 158/400</w:t>
            </w:r>
          </w:p>
        </w:tc>
        <w:tc>
          <w:tcPr/>
          <w:p>
            <w:pPr>
              <w:pStyle w:val="Compact"/>
              <w:jc w:val="center"/>
            </w:pPr>
            <w:r>
              <w:t xml:space="preserve">0.429; 190/400</w:t>
            </w:r>
          </w:p>
        </w:tc>
        <w:tc>
          <w:tcPr/>
          <w:p>
            <w:pPr>
              <w:pStyle w:val="Compact"/>
              <w:jc w:val="center"/>
            </w:pPr>
            <w:r>
              <w:t xml:space="preserve">16.136; 0/1200</w:t>
            </w:r>
          </w:p>
        </w:tc>
      </w:tr>
    </w:tbl>
    <w:bookmarkEnd w:id="53"/>
    <w:bookmarkStart w:id="54" w:name="tab:delaygrid"/>
    <w:p>
      <w:pPr>
        <w:pStyle w:val="TableCaption"/>
      </w:pPr>
      <w:r>
        <w:t xml:space="preserve">Table III (b). </w:t>
      </w:r>
      <w:r>
        <w:t xml:space="preserve">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w:t>
      </w:r>
    </w:p>
    <w:tbl>
      <w:tblPr>
        <w:tblStyle w:val="Table"/>
        <w:tblW w:type="auto" w:w="0"/>
        <w:jc w:val="left"/>
        <w:tblLook w:firstRow="1" w:lastRow="0" w:firstColumn="0" w:lastColumn="0" w:noHBand="0" w:noVBand="0" w:val="0020"/>
        <w:tblCaption w:val="Tracking performance and corridor completion over all tested command delays (0–1,000 ms). Each cell is mean episode RMSE (m); corridor-completed/total records, aggregated over four scenarios. Corridor completion requires route completion, no collision and no corridor excursion. Actor-dependent columns contain 1,200 records per delay; actor-free columns contain 400. Actor repetitions share traffic cases. No intermediate delay was measured."/>
      </w:tblPr>
      <w:tblGrid>
        <w:gridCol w:w="1131"/>
        <w:gridCol w:w="1131"/>
        <w:gridCol w:w="1131"/>
        <w:gridCol w:w="1131"/>
        <w:gridCol w:w="1131"/>
        <w:gridCol w:w="1131"/>
        <w:gridCol w:w="1131"/>
      </w:tblGrid>
      <w:tr>
        <w:trPr>
          <w:tblHeader w:val="on"/>
        </w:trPr>
        <w:tc>
          <w:tcPr/>
          <w:p>
            <w:pPr>
              <w:pStyle w:val="Compact"/>
              <w:jc w:val="right"/>
            </w:pPr>
            <w:r>
              <w:t xml:space="preserve">Delay (ms)</w:t>
            </w:r>
          </w:p>
        </w:tc>
        <w:tc>
          <w:tcPr/>
          <w:p>
            <w:pPr>
              <w:pStyle w:val="Compact"/>
              <w:jc w:val="center"/>
            </w:pPr>
            <w:r>
              <w:t xml:space="preserve">Delay CBF</w:t>
            </w:r>
          </w:p>
        </w:tc>
        <w:tc>
          <w:tcPr/>
          <w:p>
            <w:pPr>
              <w:pStyle w:val="Compact"/>
              <w:jc w:val="center"/>
            </w:pPr>
            <w:r>
              <w:t xml:space="preserve">No prediction</w:t>
            </w:r>
          </w:p>
        </w:tc>
        <w:tc>
          <w:tcPr/>
          <w:p>
            <w:pPr>
              <w:pStyle w:val="Compact"/>
              <w:jc w:val="center"/>
            </w:pPr>
            <w:r>
              <w:t xml:space="preserve">No actor</w:t>
            </w:r>
          </w:p>
        </w:tc>
        <w:tc>
          <w:tcPr/>
          <w:p>
            <w:pPr>
              <w:pStyle w:val="Compact"/>
              <w:jc w:val="center"/>
            </w:pPr>
            <w:r>
              <w:t xml:space="preserve">Robust LANS</w:t>
            </w:r>
          </w:p>
        </w:tc>
        <w:tc>
          <w:tcPr/>
          <w:p>
            <w:pPr>
              <w:pStyle w:val="Compact"/>
              <w:jc w:val="center"/>
            </w:pPr>
            <w:r>
              <w:t xml:space="preserve">Robust MPC</w:t>
            </w:r>
          </w:p>
        </w:tc>
        <w:tc>
          <w:tcPr/>
          <w:p>
            <w:pPr>
              <w:pStyle w:val="Compact"/>
              <w:jc w:val="center"/>
            </w:pPr>
            <w:r>
              <w:t xml:space="preserve">Robust no actor</w:t>
            </w:r>
          </w:p>
        </w:tc>
      </w:tr>
      <w:tr>
        <w:tc>
          <w:tcPr/>
          <w:p>
            <w:pPr>
              <w:pStyle w:val="Compact"/>
              <w:jc w:val="right"/>
            </w:pPr>
            <w:r>
              <w:t xml:space="preserve">0</w:t>
            </w:r>
          </w:p>
        </w:tc>
        <w:tc>
          <w:tcPr/>
          <w:p>
            <w:pPr>
              <w:pStyle w:val="Compact"/>
              <w:jc w:val="center"/>
            </w:pPr>
            <w:r>
              <w:t xml:space="preserve">0.398; 1200/1200</w:t>
            </w:r>
          </w:p>
        </w:tc>
        <w:tc>
          <w:tcPr/>
          <w:p>
            <w:pPr>
              <w:pStyle w:val="Compact"/>
              <w:jc w:val="center"/>
            </w:pPr>
            <w:r>
              <w:t xml:space="preserve">0.063; 1200/1200</w:t>
            </w:r>
          </w:p>
        </w:tc>
        <w:tc>
          <w:tcPr/>
          <w:p>
            <w:pPr>
              <w:pStyle w:val="Compact"/>
              <w:jc w:val="center"/>
            </w:pPr>
            <w:r>
              <w:t xml:space="preserve">0.061; 400/400</w:t>
            </w:r>
          </w:p>
        </w:tc>
        <w:tc>
          <w:tcPr/>
          <w:p>
            <w:pPr>
              <w:pStyle w:val="Compact"/>
              <w:jc w:val="center"/>
            </w:pPr>
            <w:r>
              <w:t xml:space="preserve">0.074; 1200/1200</w:t>
            </w:r>
          </w:p>
        </w:tc>
        <w:tc>
          <w:tcPr/>
          <w:p>
            <w:pPr>
              <w:pStyle w:val="Compact"/>
              <w:jc w:val="center"/>
            </w:pPr>
            <w:r>
              <w:t xml:space="preserve">0.044; 400/400</w:t>
            </w:r>
          </w:p>
        </w:tc>
        <w:tc>
          <w:tcPr/>
          <w:p>
            <w:pPr>
              <w:pStyle w:val="Compact"/>
              <w:jc w:val="center"/>
            </w:pPr>
            <w:r>
              <w:t xml:space="preserve">0.070; 400/400</w:t>
            </w:r>
          </w:p>
        </w:tc>
      </w:tr>
      <w:tr>
        <w:tc>
          <w:tcPr/>
          <w:p>
            <w:pPr>
              <w:pStyle w:val="Compact"/>
              <w:jc w:val="right"/>
            </w:pPr>
            <w:r>
              <w:t xml:space="preserve">200</w:t>
            </w:r>
          </w:p>
        </w:tc>
        <w:tc>
          <w:tcPr/>
          <w:p>
            <w:pPr>
              <w:pStyle w:val="Compact"/>
              <w:jc w:val="center"/>
            </w:pPr>
            <w:r>
              <w:t xml:space="preserve">0.650; 1200/1200</w:t>
            </w:r>
          </w:p>
        </w:tc>
        <w:tc>
          <w:tcPr/>
          <w:p>
            <w:pPr>
              <w:pStyle w:val="Compact"/>
              <w:jc w:val="center"/>
            </w:pPr>
            <w:r>
              <w:t xml:space="preserve">3.586; 121/1200</w:t>
            </w:r>
          </w:p>
        </w:tc>
        <w:tc>
          <w:tcPr/>
          <w:p>
            <w:pPr>
              <w:pStyle w:val="Compact"/>
              <w:jc w:val="center"/>
            </w:pPr>
            <w:r>
              <w:t xml:space="preserve">0.064; 400/400</w:t>
            </w:r>
          </w:p>
        </w:tc>
        <w:tc>
          <w:tcPr/>
          <w:p>
            <w:pPr>
              <w:pStyle w:val="Compact"/>
              <w:jc w:val="center"/>
            </w:pPr>
            <w:r>
              <w:t xml:space="preserve">0.076; 1200/1200</w:t>
            </w:r>
          </w:p>
        </w:tc>
        <w:tc>
          <w:tcPr/>
          <w:p>
            <w:pPr>
              <w:pStyle w:val="Compact"/>
              <w:jc w:val="center"/>
            </w:pPr>
            <w:r>
              <w:t xml:space="preserve">0.046; 400/400</w:t>
            </w:r>
          </w:p>
        </w:tc>
        <w:tc>
          <w:tcPr/>
          <w:p>
            <w:pPr>
              <w:pStyle w:val="Compact"/>
              <w:jc w:val="center"/>
            </w:pPr>
            <w:r>
              <w:t xml:space="preserve">0.072; 400/400</w:t>
            </w:r>
          </w:p>
        </w:tc>
      </w:tr>
      <w:tr>
        <w:tc>
          <w:tcPr/>
          <w:p>
            <w:pPr>
              <w:pStyle w:val="Compact"/>
              <w:jc w:val="right"/>
            </w:pPr>
            <w:r>
              <w:t xml:space="preserve">500</w:t>
            </w:r>
          </w:p>
        </w:tc>
        <w:tc>
          <w:tcPr/>
          <w:p>
            <w:pPr>
              <w:pStyle w:val="Compact"/>
              <w:jc w:val="center"/>
            </w:pPr>
            <w:r>
              <w:t xml:space="preserve">1.000; 1063/1200</w:t>
            </w:r>
          </w:p>
        </w:tc>
        <w:tc>
          <w:tcPr/>
          <w:p>
            <w:pPr>
              <w:pStyle w:val="Compact"/>
              <w:jc w:val="center"/>
            </w:pPr>
            <w:r>
              <w:t xml:space="preserve">17.263; 0/1200</w:t>
            </w:r>
          </w:p>
        </w:tc>
        <w:tc>
          <w:tcPr/>
          <w:p>
            <w:pPr>
              <w:pStyle w:val="Compact"/>
              <w:jc w:val="center"/>
            </w:pPr>
            <w:r>
              <w:t xml:space="preserve">0.112; 399/400</w:t>
            </w:r>
          </w:p>
        </w:tc>
        <w:tc>
          <w:tcPr/>
          <w:p>
            <w:pPr>
              <w:pStyle w:val="Compact"/>
              <w:jc w:val="center"/>
            </w:pPr>
            <w:r>
              <w:t xml:space="preserve">0.126; 1194/1200</w:t>
            </w:r>
          </w:p>
        </w:tc>
        <w:tc>
          <w:tcPr/>
          <w:p>
            <w:pPr>
              <w:pStyle w:val="Compact"/>
              <w:jc w:val="center"/>
            </w:pPr>
            <w:r>
              <w:t xml:space="preserve">0.102; 398/400</w:t>
            </w:r>
          </w:p>
        </w:tc>
        <w:tc>
          <w:tcPr/>
          <w:p>
            <w:pPr>
              <w:pStyle w:val="Compact"/>
              <w:jc w:val="center"/>
            </w:pPr>
            <w:r>
              <w:t xml:space="preserve">0.123; 398/400</w:t>
            </w:r>
          </w:p>
        </w:tc>
      </w:tr>
      <w:tr>
        <w:tc>
          <w:tcPr/>
          <w:p>
            <w:pPr>
              <w:pStyle w:val="Compact"/>
              <w:jc w:val="right"/>
            </w:pPr>
            <w:r>
              <w:t xml:space="preserve">700</w:t>
            </w:r>
          </w:p>
        </w:tc>
        <w:tc>
          <w:tcPr/>
          <w:p>
            <w:pPr>
              <w:pStyle w:val="Compact"/>
              <w:jc w:val="center"/>
            </w:pPr>
            <w:r>
              <w:t xml:space="preserve">1.103; 891/1200</w:t>
            </w:r>
          </w:p>
        </w:tc>
        <w:tc>
          <w:tcPr/>
          <w:p>
            <w:pPr>
              <w:pStyle w:val="Compact"/>
              <w:jc w:val="center"/>
            </w:pPr>
            <w:r>
              <w:t xml:space="preserve">23.461; 0/1200</w:t>
            </w:r>
          </w:p>
        </w:tc>
        <w:tc>
          <w:tcPr/>
          <w:p>
            <w:pPr>
              <w:pStyle w:val="Compact"/>
              <w:jc w:val="center"/>
            </w:pPr>
            <w:r>
              <w:t xml:space="preserve">0.188; 323/400</w:t>
            </w:r>
          </w:p>
        </w:tc>
        <w:tc>
          <w:tcPr/>
          <w:p>
            <w:pPr>
              <w:pStyle w:val="Compact"/>
              <w:jc w:val="center"/>
            </w:pPr>
            <w:r>
              <w:t xml:space="preserve">0.207; 957/1200</w:t>
            </w:r>
          </w:p>
        </w:tc>
        <w:tc>
          <w:tcPr/>
          <w:p>
            <w:pPr>
              <w:pStyle w:val="Compact"/>
              <w:jc w:val="center"/>
            </w:pPr>
            <w:r>
              <w:t xml:space="preserve">0.189; 319/400</w:t>
            </w:r>
          </w:p>
        </w:tc>
        <w:tc>
          <w:tcPr/>
          <w:p>
            <w:pPr>
              <w:pStyle w:val="Compact"/>
              <w:jc w:val="center"/>
            </w:pPr>
            <w:r>
              <w:t xml:space="preserve">0.206; 319/400</w:t>
            </w:r>
          </w:p>
        </w:tc>
      </w:tr>
      <w:tr>
        <w:tc>
          <w:tcPr/>
          <w:p>
            <w:pPr>
              <w:pStyle w:val="Compact"/>
              <w:jc w:val="right"/>
            </w:pPr>
            <w:r>
              <w:t xml:space="preserve">1000</w:t>
            </w:r>
          </w:p>
        </w:tc>
        <w:tc>
          <w:tcPr/>
          <w:p>
            <w:pPr>
              <w:pStyle w:val="Compact"/>
              <w:jc w:val="center"/>
            </w:pPr>
            <w:r>
              <w:t xml:space="preserve">1.423; 685/1200</w:t>
            </w:r>
          </w:p>
        </w:tc>
        <w:tc>
          <w:tcPr/>
          <w:p>
            <w:pPr>
              <w:pStyle w:val="Compact"/>
              <w:jc w:val="center"/>
            </w:pPr>
            <w:r>
              <w:t xml:space="preserve">11.365; 0/1200</w:t>
            </w:r>
          </w:p>
        </w:tc>
        <w:tc>
          <w:tcPr/>
          <w:p>
            <w:pPr>
              <w:pStyle w:val="Compact"/>
              <w:jc w:val="center"/>
            </w:pPr>
            <w:r>
              <w:t xml:space="preserve">0.358; 234/400</w:t>
            </w:r>
          </w:p>
        </w:tc>
        <w:tc>
          <w:tcPr/>
          <w:p>
            <w:pPr>
              <w:pStyle w:val="Compact"/>
              <w:jc w:val="center"/>
            </w:pPr>
            <w:r>
              <w:t xml:space="preserve">0.405; 705/1200</w:t>
            </w:r>
          </w:p>
        </w:tc>
        <w:tc>
          <w:tcPr/>
          <w:p>
            <w:pPr>
              <w:pStyle w:val="Compact"/>
              <w:jc w:val="center"/>
            </w:pPr>
            <w:r>
              <w:t xml:space="preserve">0.384; 234/400</w:t>
            </w:r>
          </w:p>
        </w:tc>
        <w:tc>
          <w:tcPr/>
          <w:p>
            <w:pPr>
              <w:pStyle w:val="Compact"/>
              <w:jc w:val="center"/>
            </w:pPr>
            <w:r>
              <w:t xml:space="preserve">0.402; 234/400</w:t>
            </w:r>
          </w:p>
        </w:tc>
      </w:tr>
    </w:tbl>
    <w:bookmarkEnd w:id="54"/>
    <w:bookmarkStart w:id="55" w:name="tab:endpoints"/>
    <w:p>
      <w:pPr>
        <w:pStyle w:val="TableCaption"/>
      </w:pPr>
      <w:r>
        <w:t xml:space="preserve">Table IV. </w:t>
      </w:r>
      <w:r>
        <w:t xml:space="preserve">Main-confirmation outcomes at 1,000 ms. LANS-RISK entries are descriptive averages of three actor-condition means; MPC uses the same 100 traffic cases once. Collision (C) and corridor completion (CC) are percentages.</w:t>
      </w:r>
    </w:p>
    <w:tbl>
      <w:tblPr>
        <w:tblStyle w:val="Table"/>
        <w:tblW w:type="auto" w:w="0"/>
        <w:jc w:val="left"/>
        <w:tblLook w:firstRow="0" w:lastRow="0" w:firstColumn="0" w:lastColumn="0" w:noHBand="0" w:noVBand="0" w:val="0000"/>
        <w:tblCaption w:val="Main-confirmation outcomes at 1,000 ms. LANS-RISK entries are descriptive averages of three actor-condition means; MPC uses the same 100 traffic cases once. Collision (C) and corridor completion (CC) are percentages."/>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LANS-RISK</w:t>
            </w:r>
          </w:p>
        </w:tc>
        <w:tc>
          <w:tcPr>
            <w:gridSpan w:val="3"/>
          </w:tcPr>
          <w:p>
            <w:pPr>
              <w:pStyle w:val="Compact"/>
              <w:jc w:val="center"/>
            </w:pPr>
            <w:r>
              <w:t xml:space="preserve">Nominal MPC</w:t>
            </w:r>
          </w:p>
        </w:tc>
      </w:tr>
      <w:tr>
        <w:tc>
          <w:tcPr/>
          <w:p>
            <w:pPr>
              <w:pStyle w:val="Compact"/>
              <w:jc w:val="left"/>
            </w:pPr>
            <w:r>
              <w:t xml:space="preserve">Scenario</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0.025</w:t>
            </w:r>
          </w:p>
        </w:tc>
      </w:tr>
      <w:tr>
        <w:tc>
          <w:tcPr/>
          <w:p>
            <w:pPr>
              <w:pStyle w:val="Compact"/>
              <w:jc w:val="left"/>
            </w:pPr>
            <w:r>
              <w:t xml:space="preserve">Merge</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c>
          <w:tcPr/>
          <w:p>
            <w:pPr>
              <w:pStyle w:val="Compact"/>
              <w:jc w:val="right"/>
            </w:pPr>
            <w:r>
              <w:t xml:space="preserve">1.0</w:t>
            </w:r>
          </w:p>
        </w:tc>
        <w:tc>
          <w:tcPr/>
          <w:p>
            <w:pPr>
              <w:pStyle w:val="Compact"/>
              <w:jc w:val="right"/>
            </w:pPr>
            <w:r>
              <w:t xml:space="preserve">34.0</w:t>
            </w:r>
          </w:p>
        </w:tc>
        <w:tc>
          <w:tcPr/>
          <w:p>
            <w:pPr>
              <w:pStyle w:val="Compact"/>
              <w:jc w:val="right"/>
            </w:pPr>
            <w:r>
              <w:t xml:space="preserve">0.416</w:t>
            </w:r>
          </w:p>
        </w:tc>
      </w:tr>
      <w:tr>
        <w:tc>
          <w:tcPr/>
          <w:p>
            <w:pPr>
              <w:pStyle w:val="Compact"/>
              <w:jc w:val="left"/>
            </w:pPr>
            <w:r>
              <w:t xml:space="preserve">Intersection</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c>
          <w:tcPr/>
          <w:p>
            <w:pPr>
              <w:pStyle w:val="Compact"/>
              <w:jc w:val="right"/>
            </w:pPr>
            <w:r>
              <w:t xml:space="preserve">0.0</w:t>
            </w:r>
          </w:p>
        </w:tc>
        <w:tc>
          <w:tcPr/>
          <w:p>
            <w:pPr>
              <w:pStyle w:val="Compact"/>
              <w:jc w:val="right"/>
            </w:pPr>
            <w:r>
              <w:t xml:space="preserve">99.0</w:t>
            </w:r>
          </w:p>
        </w:tc>
        <w:tc>
          <w:tcPr/>
          <w:p>
            <w:pPr>
              <w:pStyle w:val="Compact"/>
              <w:jc w:val="right"/>
            </w:pPr>
            <w:r>
              <w:t xml:space="preserve">0.031</w:t>
            </w:r>
          </w:p>
        </w:tc>
      </w:tr>
      <w:tr>
        <w:tc>
          <w:tcPr/>
          <w:p>
            <w:pPr>
              <w:pStyle w:val="Compact"/>
              <w:jc w:val="left"/>
            </w:pPr>
            <w:r>
              <w:t xml:space="preserve">Roundabout</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0.939</w:t>
            </w:r>
          </w:p>
        </w:tc>
      </w:tr>
    </w:tbl>
    <w:bookmarkEnd w:id="55"/>
    <w:bookmarkStart w:id="56" w:name="tab:latency"/>
    <w:p>
      <w:pPr>
        <w:pStyle w:val="TableCaption"/>
      </w:pPr>
      <w:r>
        <w:t xml:space="preserve">Table V. </w:t>
      </w:r>
      <w:r>
        <w:t xml:space="preserve">Empirical contiguous passing actuation delay (ms). Passing requires collision</w:t>
      </w:r>
      <w:r>
        <w:t xml:space="preserve"> </w:t>
      </w:r>
      <m:oMath>
        <m:r>
          <m:rPr>
            <m:sty m:val="p"/>
          </m:rPr>
          <m:t>≤</m:t>
        </m:r>
        <m:r>
          <m:t>1</m:t>
        </m:r>
        <m:r>
          <m:rPr>
            <m:sty m:val="p"/>
          </m:rPr>
          <m:t>%</m:t>
        </m:r>
      </m:oMath>
      <w:r>
        <w:t xml:space="preserve"> </w:t>
      </w:r>
      <w:r>
        <w:t xml:space="preserve">and corridor completion</w:t>
      </w:r>
      <w:r>
        <w:t xml:space="preserve"> </w:t>
      </w:r>
      <m:oMath>
        <m:r>
          <m:rPr>
            <m:sty m:val="p"/>
          </m:rPr>
          <m:t>≥</m:t>
        </m:r>
        <m:r>
          <m:t>90</m:t>
        </m:r>
        <m:r>
          <m:rPr>
            <m:sty m:val="p"/>
          </m:rPr>
          <m:t>%</m:t>
        </m:r>
      </m:oMath>
      <w:r>
        <w:t xml:space="preserve"> </w:t>
      </w:r>
      <w:r>
        <w:t xml:space="preserve">at every tested delay up to the endpoint. Slashes list actors 42/43/44 when they differ; otherwise all three agree. NP means no passing point, including at zero delay.</w:t>
      </w:r>
      <w:r>
        <w:t xml:space="preserve"> </w:t>
      </w:r>
      <m:oMath>
        <m:r>
          <m:rPr>
            <m:sty m:val="p"/>
          </m:rPr>
          <m:t>†</m:t>
        </m:r>
      </m:oMath>
      <w:r>
        <w:t xml:space="preserve">: 1,000 ms is the tested upper limit, not a measured failure boundary.</w:t>
      </w:r>
    </w:p>
    <w:tbl>
      <w:tblPr>
        <w:tblStyle w:val="Table"/>
        <w:tblW w:type="auto" w:w="0"/>
        <w:jc w:val="left"/>
        <w:tblLook w:firstRow="1" w:lastRow="0" w:firstColumn="0" w:lastColumn="0" w:noHBand="0" w:noVBand="0" w:val="0020"/>
        <w:tblCaption w:val="Empirical contiguous passing actuation delay (ms). Passing requires collision \leq1\% and corridor completion \geq90\% at every tested delay up to the endpoint. Slashes list actors 42/43/44 when they differ; otherwise all three agree. NP means no passing point, including at zero delay. \dagger: 1,000 ms is the tested upper limit, not a measured failure boundary."/>
      </w:tblPr>
      <w:tblGrid>
        <w:gridCol w:w="1584"/>
        <w:gridCol w:w="1584"/>
        <w:gridCol w:w="1584"/>
        <w:gridCol w:w="1584"/>
        <w:gridCol w:w="1584"/>
      </w:tblGrid>
      <w:tr>
        <w:trPr>
          <w:tblHeader w:val="on"/>
        </w:trPr>
        <w:tc>
          <w:tcPr/>
          <w:p>
            <w:pPr>
              <w:pStyle w:val="Compact"/>
              <w:jc w:val="left"/>
            </w:pPr>
            <w:r>
              <w:t xml:space="preserve">Controller</w:t>
            </w:r>
          </w:p>
        </w:tc>
        <w:tc>
          <w:tcPr/>
          <w:p>
            <w:pPr>
              <w:pStyle w:val="Compact"/>
              <w:jc w:val="right"/>
            </w:pPr>
            <w:r>
              <w:t xml:space="preserve">Highway</w:t>
            </w:r>
          </w:p>
        </w:tc>
        <w:tc>
          <w:tcPr/>
          <w:p>
            <w:pPr>
              <w:pStyle w:val="Compact"/>
              <w:jc w:val="right"/>
            </w:pPr>
            <w:r>
              <w:t xml:space="preserve">Merge</w:t>
            </w:r>
          </w:p>
        </w:tc>
        <w:tc>
          <w:tcPr/>
          <w:p>
            <w:pPr>
              <w:pStyle w:val="Compact"/>
              <w:jc w:val="right"/>
            </w:pPr>
            <w:r>
              <w:t xml:space="preserve">Intersection</w:t>
            </w:r>
          </w:p>
        </w:tc>
        <w:tc>
          <w:tcPr/>
          <w:p>
            <w:pPr>
              <w:pStyle w:val="Compact"/>
              <w:jc w:val="right"/>
            </w:pPr>
            <w:r>
              <w:t xml:space="preserve">Roundabout</w:t>
            </w:r>
          </w:p>
        </w:tc>
      </w:tr>
      <w:tr>
        <w:tc>
          <w:tcPr/>
          <w:p>
            <w:pPr>
              <w:pStyle w:val="Compact"/>
              <w:jc w:val="left"/>
            </w:pPr>
            <w:r>
              <w:t xml:space="preserve">LANS-RISK</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r>
        <w:tc>
          <w:tcPr/>
          <w:p>
            <w:pPr>
              <w:pStyle w:val="Compact"/>
              <w:jc w:val="left"/>
            </w:pPr>
            <w:r>
              <w:t xml:space="preserve">Nominal MPC</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r>
        <w:tc>
          <w:tcPr/>
          <w:p>
            <w:pPr>
              <w:pStyle w:val="Compact"/>
              <w:jc w:val="left"/>
            </w:pPr>
            <w:r>
              <w:t xml:space="preserve">PPO only</w:t>
            </w:r>
          </w:p>
        </w:tc>
        <w:tc>
          <w:tcPr/>
          <w:p>
            <w:pPr>
              <w:pStyle w:val="Compact"/>
              <w:jc w:val="right"/>
            </w:pPr>
            <w:r>
              <w:t xml:space="preserve">0/200/0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0/NP/NP</w:t>
            </w:r>
          </w:p>
        </w:tc>
      </w:tr>
      <w:tr>
        <w:tc>
          <w:tcPr/>
          <w:p>
            <w:pPr>
              <w:pStyle w:val="Compact"/>
              <w:jc w:val="left"/>
            </w:pPr>
            <w:r>
              <w:t xml:space="preserve">No prediction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No actor</w:t>
            </w:r>
          </w:p>
        </w:tc>
        <w:tc>
          <w:tcPr/>
          <w:p>
            <w:pPr>
              <w:pStyle w:val="Compact"/>
              <w:jc w:val="right"/>
            </w:pPr>
            <w:r>
              <w:t xml:space="preserve">1000</w:t>
            </w:r>
            <m:oMath>
              <m:sSup>
                <m:e>
                  <m:r>
                    <m:t>​</m:t>
                  </m:r>
                </m:e>
                <m:sup>
                  <m:r>
                    <m:rPr>
                      <m:sty m:val="p"/>
                    </m:rPr>
                    <m:t>†</m:t>
                  </m:r>
                </m:sup>
              </m:sSup>
            </m:oMath>
          </w:p>
        </w:tc>
        <w:tc>
          <w:tcPr/>
          <w:p>
            <w:pPr>
              <w:pStyle w:val="Compact"/>
              <w:jc w:val="right"/>
            </w:pPr>
            <w:r>
              <w:t xml:space="preserve">700</w:t>
            </w:r>
          </w:p>
        </w:tc>
        <w:tc>
          <w:tcPr/>
          <w:p>
            <w:pPr>
              <w:pStyle w:val="Compact"/>
              <w:jc w:val="right"/>
            </w:pPr>
            <w:r>
              <w:t xml:space="preserve">1000</w:t>
            </w:r>
            <m:oMath>
              <m:sSup>
                <m:e>
                  <m:r>
                    <m:t>​</m:t>
                  </m:r>
                </m:e>
                <m:sup>
                  <m:r>
                    <m:rPr>
                      <m:sty m:val="p"/>
                    </m:rPr>
                    <m:t>†</m:t>
                  </m:r>
                </m:sup>
              </m:sSup>
            </m:oMath>
          </w:p>
        </w:tc>
        <w:tc>
          <w:tcPr/>
          <w:p>
            <w:pPr>
              <w:pStyle w:val="Compact"/>
              <w:jc w:val="right"/>
            </w:pPr>
            <w:r>
              <w:t xml:space="preserve">500</w:t>
            </w:r>
          </w:p>
        </w:tc>
      </w:tr>
    </w:tbl>
    <w:bookmarkEnd w:id="56"/>
    <w:bookmarkEnd w:id="57"/>
    <w:bookmarkStart w:id="58" w:name="contribution-of-queue-prediction"/>
    <w:p>
      <w:pPr>
        <w:pStyle w:val="Heading2"/>
      </w:pPr>
      <w:r>
        <w:t xml:space="preserve">Contribution of Queue Prediction</w:t>
      </w:r>
    </w:p>
    <w:p>
      <w:pPr>
        <w:pStyle w:val="FirstParagraph"/>
      </w:pPr>
      <w:r>
        <w:t xml:space="preserve">Disabling internal queue prediction reduces corridor-completion rates in 45 of the 60 paired actor/scenario/delay contrasts; all 45 remain significant after Holm correction. No contrast has a higher corridor-completion rate for the no-prediction variant. These counts are correlated comparisons over shared cases and actors, not 60 independent replications.</w:t>
      </w:r>
    </w:p>
    <w:p>
      <w:pPr>
        <w:pStyle w:val="BodyText"/>
      </w:pPr>
      <w:r>
        <w:t xml:space="preserve">At 1,000 ms, no prediction yields zero corridor completion in every scenario (Table VI). Collision-free Highway/Merge failures show why collision-only reporting is insufficient; Intersection/Roundabout also incur collisions. The physical FIFO remains active, isolating the effect of skipping internal queue rollout.</w:t>
      </w:r>
    </w:p>
    <w:bookmarkEnd w:id="58"/>
    <w:bookmarkStart w:id="60" w:name="Xea196d974e32fef4082ea4da2ab8c06bcf4c29f"/>
    <w:p>
      <w:pPr>
        <w:pStyle w:val="Heading2"/>
      </w:pPr>
      <w:r>
        <w:t xml:space="preserve">Contribution of the Actor and Supervision Bundle</w:t>
      </w:r>
    </w:p>
    <w:p>
      <w:pPr>
        <w:pStyle w:val="FirstParagraph"/>
      </w:pPr>
      <w:r>
        <w:t xml:space="preserve">Removing the actor leaves corridor-completion rates unchanged in all 60 per-actor/scenario/delay comparisons. Table VI shows mixed tracking effects at 1,000 ms: the no-actor variant has slightly lower mean RMSE on Intersection and Roundabout, but higher mean RMSE on Highway and Merge. Therefore, the present evidence does not establish a general completion benefit from the learned prior.</w:t>
      </w:r>
    </w:p>
    <w:p>
      <w:pPr>
        <w:pStyle w:val="BodyText"/>
      </w:pPr>
      <w:r>
        <w:t xml:space="preserve">Against PPO-only, LANS-RISK has higher corridor-completion rates in 49 of 60 contrasts, with 45 significant after Holm correction. The improvement applies to the full supervision bundle, including its richer state/FIFO interface; it does not establish a benefit over a policy trained for the current information and actuation setting. PPO-only has zero corridor completion at the largest tested delay in every scenario and high collision rates on some scenarios. This comparison cannot isolate individual supervisory effects.</w:t>
      </w:r>
    </w:p>
    <w:bookmarkStart w:id="59" w:name="tab:ablations"/>
    <w:p>
      <w:pPr>
        <w:pStyle w:val="TableCaption"/>
      </w:pPr>
      <w:r>
        <w:t xml:space="preserve">Table VI. </w:t>
      </w:r>
      <w:r>
        <w:t xml:space="preserve">Focused removals and PPO-only at 1,000 ms. C: collision; CC: corridor completion. Actor-seed averaging is descriptive; per-seed estimates and intervals are supplied separately.</w:t>
      </w:r>
    </w:p>
    <w:tbl>
      <w:tblPr>
        <w:tblStyle w:val="Table"/>
        <w:tblW w:type="auto" w:w="0"/>
        <w:jc w:val="left"/>
        <w:tblLook w:firstRow="1" w:lastRow="0" w:firstColumn="0" w:lastColumn="0" w:noHBand="0" w:noVBand="0" w:val="0020"/>
        <w:tblCaption w:val="Focused removals and PPO-only at 1,000 ms. C: collision; CC: corridor completion. Actor-seed averaging is descriptive; per-seed estimates and intervals are supplied separately."/>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Variant</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r>
      <w:tr>
        <w:tc>
          <w:tcPr/>
          <w:p>
            <w:pPr>
              <w:pStyle w:val="Compact"/>
              <w:jc w:val="left"/>
            </w:pPr>
            <w:r>
              <w:t xml:space="preserve">Highway</w:t>
            </w:r>
          </w:p>
        </w:tc>
        <w:tc>
          <w:tcPr/>
          <w:p>
            <w:pPr>
              <w:pStyle w:val="Compact"/>
              <w:jc w:val="left"/>
            </w:pPr>
            <w:r>
              <w:t xml:space="preserve">No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14.599</w:t>
            </w:r>
          </w:p>
        </w:tc>
      </w:tr>
      <w:tr>
        <w:tc>
          <w:tcPr/>
          <w:p>
            <w:pPr>
              <w:pStyle w:val="Compact"/>
              <w:jc w:val="left"/>
            </w:pPr>
            <w:r>
              <w:t xml:space="preserve">Highway</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0.082</w:t>
            </w:r>
          </w:p>
        </w:tc>
      </w:tr>
      <w:tr>
        <w:tc>
          <w:tcPr/>
          <w:p>
            <w:pPr>
              <w:pStyle w:val="Compact"/>
              <w:jc w:val="left"/>
            </w:pPr>
            <w:r>
              <w:t xml:space="preserve">Highway</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11.060</w:t>
            </w:r>
          </w:p>
        </w:tc>
      </w:tr>
      <w:tr>
        <w:tc>
          <w:tcPr/>
          <w:p>
            <w:pPr>
              <w:pStyle w:val="Compact"/>
              <w:jc w:val="left"/>
            </w:pPr>
            <w:r>
              <w:t xml:space="preserve">Merge</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r>
      <w:tr>
        <w:tc>
          <w:tcPr/>
          <w:p>
            <w:pPr>
              <w:pStyle w:val="Compact"/>
              <w:jc w:val="left"/>
            </w:pPr>
            <w:r>
              <w:t xml:space="preserve">Merge</w:t>
            </w:r>
          </w:p>
        </w:tc>
        <w:tc>
          <w:tcPr/>
          <w:p>
            <w:pPr>
              <w:pStyle w:val="Compact"/>
              <w:jc w:val="left"/>
            </w:pPr>
            <w:r>
              <w:t xml:space="preserve">No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16.687</w:t>
            </w:r>
          </w:p>
        </w:tc>
      </w:tr>
      <w:tr>
        <w:tc>
          <w:tcPr/>
          <w:p>
            <w:pPr>
              <w:pStyle w:val="Compact"/>
              <w:jc w:val="left"/>
            </w:pPr>
            <w:r>
              <w:t xml:space="preserve">Merge</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0.392</w:t>
            </w:r>
          </w:p>
        </w:tc>
      </w:tr>
      <w:tr>
        <w:tc>
          <w:tcPr/>
          <w:p>
            <w:pPr>
              <w:pStyle w:val="Compact"/>
              <w:jc w:val="left"/>
            </w:pPr>
            <w:r>
              <w:t xml:space="preserve">Merge</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35.224</w:t>
            </w:r>
          </w:p>
        </w:tc>
      </w:tr>
      <w:tr>
        <w:tc>
          <w:tcPr/>
          <w:p>
            <w:pPr>
              <w:pStyle w:val="Compact"/>
              <w:jc w:val="left"/>
            </w:pPr>
            <w:r>
              <w:t xml:space="preserve">Intersection</w:t>
            </w:r>
          </w:p>
        </w:tc>
        <w:tc>
          <w:tcPr/>
          <w:p>
            <w:pPr>
              <w:pStyle w:val="Compact"/>
              <w:jc w:val="left"/>
            </w:pPr>
            <w:r>
              <w:t xml:space="preserve">LANS-RISK</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r>
      <w:tr>
        <w:tc>
          <w:tcPr/>
          <w:p>
            <w:pPr>
              <w:pStyle w:val="Compact"/>
              <w:jc w:val="left"/>
            </w:pPr>
            <w:r>
              <w:t xml:space="preserve">Intersection</w:t>
            </w:r>
          </w:p>
        </w:tc>
        <w:tc>
          <w:tcPr/>
          <w:p>
            <w:pPr>
              <w:pStyle w:val="Compact"/>
              <w:jc w:val="left"/>
            </w:pPr>
            <w:r>
              <w:t xml:space="preserve">No prediction</w:t>
            </w:r>
          </w:p>
        </w:tc>
        <w:tc>
          <w:tcPr/>
          <w:p>
            <w:pPr>
              <w:pStyle w:val="Compact"/>
              <w:jc w:val="right"/>
            </w:pPr>
            <w:r>
              <w:t xml:space="preserve">25.0</w:t>
            </w:r>
          </w:p>
        </w:tc>
        <w:tc>
          <w:tcPr/>
          <w:p>
            <w:pPr>
              <w:pStyle w:val="Compact"/>
              <w:jc w:val="right"/>
            </w:pPr>
            <w:r>
              <w:t xml:space="preserve">0.0</w:t>
            </w:r>
          </w:p>
        </w:tc>
        <w:tc>
          <w:tcPr/>
          <w:p>
            <w:pPr>
              <w:pStyle w:val="Compact"/>
              <w:jc w:val="right"/>
            </w:pPr>
            <w:r>
              <w:t xml:space="preserve">11.149</w:t>
            </w:r>
          </w:p>
        </w:tc>
      </w:tr>
      <w:tr>
        <w:tc>
          <w:tcPr/>
          <w:p>
            <w:pPr>
              <w:pStyle w:val="Compact"/>
              <w:jc w:val="left"/>
            </w:pPr>
            <w:r>
              <w:t xml:space="preserve">Intersection</w:t>
            </w:r>
          </w:p>
        </w:tc>
        <w:tc>
          <w:tcPr/>
          <w:p>
            <w:pPr>
              <w:pStyle w:val="Compact"/>
              <w:jc w:val="left"/>
            </w:pPr>
            <w:r>
              <w:t xml:space="preserve">No actor</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0.032</w:t>
            </w:r>
          </w:p>
        </w:tc>
      </w:tr>
      <w:tr>
        <w:tc>
          <w:tcPr/>
          <w:p>
            <w:pPr>
              <w:pStyle w:val="Compact"/>
              <w:jc w:val="left"/>
            </w:pPr>
            <w:r>
              <w:t xml:space="preserve">Intersection</w:t>
            </w:r>
          </w:p>
        </w:tc>
        <w:tc>
          <w:tcPr/>
          <w:p>
            <w:pPr>
              <w:pStyle w:val="Compact"/>
              <w:jc w:val="left"/>
            </w:pPr>
            <w:r>
              <w:t xml:space="preserve">PPO only</w:t>
            </w:r>
          </w:p>
        </w:tc>
        <w:tc>
          <w:tcPr/>
          <w:p>
            <w:pPr>
              <w:pStyle w:val="Compact"/>
              <w:jc w:val="right"/>
            </w:pPr>
            <w:r>
              <w:t xml:space="preserve">19.0</w:t>
            </w:r>
          </w:p>
        </w:tc>
        <w:tc>
          <w:tcPr/>
          <w:p>
            <w:pPr>
              <w:pStyle w:val="Compact"/>
              <w:jc w:val="right"/>
            </w:pPr>
            <w:r>
              <w:t xml:space="preserve">0.0</w:t>
            </w:r>
          </w:p>
        </w:tc>
        <w:tc>
          <w:tcPr/>
          <w:p>
            <w:pPr>
              <w:pStyle w:val="Compact"/>
              <w:jc w:val="right"/>
            </w:pPr>
            <w:r>
              <w:t xml:space="preserve">14.573</w:t>
            </w:r>
          </w:p>
        </w:tc>
      </w:tr>
      <w:tr>
        <w:tc>
          <w:tcPr/>
          <w:p>
            <w:pPr>
              <w:pStyle w:val="Compact"/>
              <w:jc w:val="left"/>
            </w:pPr>
            <w:r>
              <w:t xml:space="preserve">Roundabout</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No prediction</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3.025</w:t>
            </w:r>
          </w:p>
        </w:tc>
      </w:tr>
      <w:tr>
        <w:tc>
          <w:tcPr/>
          <w:p>
            <w:pPr>
              <w:pStyle w:val="Compact"/>
              <w:jc w:val="left"/>
            </w:pPr>
            <w:r>
              <w:t xml:space="preserve">Roundabout</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PPO only</w:t>
            </w:r>
          </w:p>
        </w:tc>
        <w:tc>
          <w:tcPr/>
          <w:p>
            <w:pPr>
              <w:pStyle w:val="Compact"/>
              <w:jc w:val="right"/>
            </w:pPr>
            <w:r>
              <w:t xml:space="preserve">99.3</w:t>
            </w:r>
          </w:p>
        </w:tc>
        <w:tc>
          <w:tcPr/>
          <w:p>
            <w:pPr>
              <w:pStyle w:val="Compact"/>
              <w:jc w:val="right"/>
            </w:pPr>
            <w:r>
              <w:t xml:space="preserve">0.0</w:t>
            </w:r>
          </w:p>
        </w:tc>
        <w:tc>
          <w:tcPr/>
          <w:p>
            <w:pPr>
              <w:pStyle w:val="Compact"/>
              <w:jc w:val="right"/>
            </w:pPr>
            <w:r>
              <w:t xml:space="preserve">3.687</w:t>
            </w:r>
          </w:p>
        </w:tc>
      </w:tr>
    </w:tbl>
    <w:bookmarkEnd w:id="59"/>
    <w:bookmarkEnd w:id="60"/>
    <w:bookmarkEnd w:id="61"/>
    <w:bookmarkStart w:id="62" w:name="discussion-and-limitations"/>
    <w:p>
      <w:pPr>
        <w:pStyle w:val="Heading1"/>
      </w:pPr>
      <w:r>
        <w:t xml:space="preserve">Discussion and Limitations</w:t>
      </w:r>
    </w:p>
    <w:p>
      <w:pPr>
        <w:pStyle w:val="FirstParagraph"/>
      </w:pPr>
      <w:r>
        <w:t xml:space="preserve">The cold FIFO limits control authority: committed startup commands can cause corridor departure before a correction arrives. Passing thresholds therefore depend on initialization and scenario geometry. Retention and lexicographic ranking lack isolated nominal ablations; the multicomponent robust variants cannot establish their individual benefit.</w:t>
      </w:r>
    </w:p>
    <w:p>
      <w:pPr>
        <w:pStyle w:val="BodyText"/>
      </w:pPr>
      <w:r>
        <w:t xml:space="preserve">Generalization is limited by synthetic disc vehicles, structured state access, known queues, fixed actors and finite sampling. Corridor checks concern the reference point at sampled ticks, not the vehicle footprint or continuous motion. No terminal-safe set, recovery certificate, real-road safety or real-time guarantee is established.</w:t>
      </w:r>
    </w:p>
    <w:p>
      <w:pPr>
        <w:pStyle w:val="BodyText"/>
      </w:pPr>
      <w:r>
        <w:t xml:space="preserve">Saved logs contain episode metrics and flags rather than full trajectories. Aggregate statistics and tests can be recomputed, but individual RMSE, collision/corridor events and queue histories cannot be independently reconstructed. Some forecast diagnostics are transient. Intervals are marginal, repeated actors share cases, and three fixed seeds do not characterize the training-outcome population.</w:t>
      </w:r>
    </w:p>
    <w:bookmarkEnd w:id="62"/>
    <w:bookmarkStart w:id="63" w:name="conclusion"/>
    <w:p>
      <w:pPr>
        <w:pStyle w:val="Heading1"/>
      </w:pPr>
      <w:r>
        <w:t xml:space="preserve">Conclusion</w:t>
      </w:r>
    </w:p>
    <w:p>
      <w:pPr>
        <w:pStyle w:val="FirstParagraph"/>
      </w:pPr>
      <w:r>
        <w:t xml:space="preserve">LANS-RISK provides a reproducible empirical study of queue-aware trajectory supervision. Its main grid supports queue prediction within this design, finds no actor completion benefit and no delay-threshold advantage over nominal MPC, and shows scenario-dependent tracking differences. The contribution is the specified implementation and controlled evidence, with explicit limits on novelty and safety.</w:t>
      </w:r>
    </w:p>
    <w:bookmarkEnd w:id="63"/>
    <w:bookmarkStart w:id="65" w:name="references"/>
    <w:p>
      <w:pPr>
        <w:pStyle w:val="Heading1"/>
      </w:pPr>
      <w:r>
        <w:t xml:space="preserve">References</w:t>
      </w:r>
    </w:p>
    <w:p>
      <w:pPr>
        <w:pStyle w:val="FirstParagraph"/>
      </w:pPr>
      <w:r>
        <w:t xml:space="preserve">[1] D. Kalaria, Q. Lin, and J. M. Dolan,</w:t>
      </w:r>
      <w:r>
        <w:t xml:space="preserve"> </w:t>
      </w:r>
      <w:r>
        <w:t xml:space="preserve">“</w:t>
      </w:r>
      <w:r>
        <w:t xml:space="preserve">Delay-aware robust control for safe autonomous driving and racing,</w:t>
      </w:r>
      <w:r>
        <w:t xml:space="preserve">”</w:t>
      </w:r>
      <w:r>
        <w:t xml:space="preserve"> </w:t>
      </w:r>
      <w:r>
        <w:t xml:space="preserve">arXiv:2208.13856v1, 2022.</w:t>
      </w:r>
    </w:p>
    <w:p>
      <w:pPr>
        <w:pStyle w:val="BodyText"/>
      </w:pPr>
      <w:r>
        <w:t xml:space="preserve">[2] K. P. Wabersich and M. N. Zeilinger,</w:t>
      </w:r>
      <w:r>
        <w:t xml:space="preserve"> </w:t>
      </w:r>
      <w:r>
        <w:t xml:space="preserve">“</w:t>
      </w:r>
      <w:r>
        <w:t xml:space="preserve">A predictive safety filter for learning-based control of constrained nonlinear dynamical systems,</w:t>
      </w:r>
      <w:r>
        <w:t xml:space="preserve">”</w:t>
      </w:r>
      <w:r>
        <w:t xml:space="preserve"> </w:t>
      </w:r>
      <w:r>
        <w:rPr>
          <w:i/>
          <w:iCs/>
        </w:rPr>
        <w:t xml:space="preserve">Automatica</w:t>
      </w:r>
      <w:r>
        <w:t xml:space="preserve">, vol. 129, Art. no. 109597, 2021.</w:t>
      </w:r>
    </w:p>
    <w:p>
      <w:pPr>
        <w:pStyle w:val="BodyText"/>
      </w:pPr>
      <w:r>
        <w:t xml:space="preserve">[3] R. Ali and J. Tian,</w:t>
      </w:r>
      <w:r>
        <w:t xml:space="preserve"> </w:t>
      </w:r>
      <w:r>
        <w:t xml:space="preserve">“</w:t>
      </w:r>
      <w:r>
        <w:t xml:space="preserve">Latency-aware path-tracking control for autonomous vehicles via analytical feedback and PPO-based residual compensation,</w:t>
      </w:r>
      <w:r>
        <w:t xml:space="preserve">”</w:t>
      </w:r>
      <w:r>
        <w:t xml:space="preserve"> </w:t>
      </w:r>
      <w:r>
        <w:t xml:space="preserve">author-supplied manuscript, undated.</w:t>
      </w:r>
    </w:p>
    <w:p>
      <w:pPr>
        <w:pStyle w:val="BodyText"/>
      </w:pPr>
      <w:r>
        <w:t xml:space="preserve">[4] L. Hewing, K. P. Wabersich, M. Menner, and M. N. Zeilinger,</w:t>
      </w:r>
      <w:r>
        <w:t xml:space="preserve"> </w:t>
      </w:r>
      <w:r>
        <w:t xml:space="preserve">“</w:t>
      </w:r>
      <w:r>
        <w:t xml:space="preserve">Learning-based model predictive control: Toward safe learning in control,</w:t>
      </w:r>
      <w:r>
        <w:t xml:space="preserve">”</w:t>
      </w:r>
      <w:r>
        <w:t xml:space="preserve"> </w:t>
      </w:r>
      <w:r>
        <w:rPr>
          <w:i/>
          <w:iCs/>
        </w:rPr>
        <w:t xml:space="preserve">Annual Review of Control, Robotics, and Autonomous Systems</w:t>
      </w:r>
      <w:r>
        <w:t xml:space="preserve">, vol. 3, pp. 269–296, 2020.</w:t>
      </w:r>
    </w:p>
    <w:p>
      <w:pPr>
        <w:pStyle w:val="BodyText"/>
      </w:pPr>
      <w:r>
        <w:t xml:space="preserve">[5] L. Brunke</w:t>
      </w:r>
      <w:r>
        <w:t xml:space="preserve"> </w:t>
      </w:r>
      <w:r>
        <w:rPr>
          <w:i/>
          <w:iCs/>
        </w:rPr>
        <w:t xml:space="preserve">et al.</w:t>
      </w:r>
      <w:r>
        <w:t xml:space="preserve">,</w:t>
      </w:r>
      <w:r>
        <w:t xml:space="preserve"> </w:t>
      </w:r>
      <w:r>
        <w:t xml:space="preserve">“</w:t>
      </w:r>
      <w:r>
        <w:t xml:space="preserve">Safe learning in robotics: From learning-based control to safe reinforcement learning,</w:t>
      </w:r>
      <w:r>
        <w:t xml:space="preserve">”</w:t>
      </w:r>
      <w:r>
        <w:t xml:space="preserve"> </w:t>
      </w:r>
      <w:r>
        <w:rPr>
          <w:i/>
          <w:iCs/>
        </w:rPr>
        <w:t xml:space="preserve">Annual Review of Control, Robotics, and Autonomous Systems</w:t>
      </w:r>
      <w:r>
        <w:t xml:space="preserve">, vol. 5, pp. 411–444, 2022.</w:t>
      </w:r>
    </w:p>
    <w:p>
      <w:pPr>
        <w:pStyle w:val="BodyText"/>
      </w:pPr>
      <w:r>
        <w:t xml:space="preserve">[6] B. Tearle, K. P. Wabersich, A. Carron, and M. N. Zeilinger,</w:t>
      </w:r>
      <w:r>
        <w:t xml:space="preserve"> </w:t>
      </w:r>
      <w:r>
        <w:t xml:space="preserve">“</w:t>
      </w:r>
      <w:r>
        <w:t xml:space="preserve">A predictive safety filter for learning-based racing control,</w:t>
      </w:r>
      <w:r>
        <w:t xml:space="preserve">”</w:t>
      </w:r>
      <w:r>
        <w:t xml:space="preserve"> </w:t>
      </w:r>
      <w:r>
        <w:t xml:space="preserve">arXiv:2102.11907v1, 2021.</w:t>
      </w:r>
    </w:p>
    <w:p>
      <w:pPr>
        <w:pStyle w:val="BodyText"/>
      </w:pPr>
      <w:r>
        <w:t xml:space="preserve">[7] A. P. Leeman, J. Köhler, S. Bennani, and M. N. Zeilinger,</w:t>
      </w:r>
      <w:r>
        <w:t xml:space="preserve"> </w:t>
      </w:r>
      <w:r>
        <w:t xml:space="preserve">“</w:t>
      </w:r>
      <w:r>
        <w:t xml:space="preserve">Predictive safety filter using system level synthesis,</w:t>
      </w:r>
      <w:r>
        <w:t xml:space="preserve">”</w:t>
      </w:r>
      <w:r>
        <w:t xml:space="preserve"> </w:t>
      </w:r>
      <w:r>
        <w:t xml:space="preserve">in</w:t>
      </w:r>
      <w:r>
        <w:t xml:space="preserve"> </w:t>
      </w:r>
      <w:r>
        <w:rPr>
          <w:i/>
          <w:iCs/>
        </w:rPr>
        <w:t xml:space="preserve">Proc. Learning for Dynamics and Control</w:t>
      </w:r>
      <w:r>
        <w:t xml:space="preserve">, PMLR, vol. 211, pp. 1180–1192, 2023.</w:t>
      </w:r>
    </w:p>
    <w:p>
      <w:pPr>
        <w:pStyle w:val="BodyText"/>
      </w:pPr>
      <w:r>
        <w:t xml:space="preserve">[8] A. Singletary, Y. Chen, and A. D. Ames,</w:t>
      </w:r>
      <w:r>
        <w:t xml:space="preserve"> </w:t>
      </w:r>
      <w:r>
        <w:t xml:space="preserve">“</w:t>
      </w:r>
      <w:r>
        <w:t xml:space="preserve">Control barrier functions for sampled-data systems with input delays,</w:t>
      </w:r>
      <w:r>
        <w:t xml:space="preserve">”</w:t>
      </w:r>
      <w:r>
        <w:t xml:space="preserve"> </w:t>
      </w:r>
      <w:r>
        <w:t xml:space="preserve">in</w:t>
      </w:r>
      <w:r>
        <w:t xml:space="preserve"> </w:t>
      </w:r>
      <w:r>
        <w:rPr>
          <w:i/>
          <w:iCs/>
        </w:rPr>
        <w:t xml:space="preserve">Proc. IEEE Conf. Decision and Control</w:t>
      </w:r>
      <w:r>
        <w:t xml:space="preserve">, pp. 804–809, 2020.</w:t>
      </w:r>
    </w:p>
    <w:p>
      <w:pPr>
        <w:pStyle w:val="BodyText"/>
      </w:pPr>
      <w:r>
        <w:t xml:space="preserve">[9] F. Cano Córdoba, A. Palmisano, M. Fränzle, R. Bloem, and B. Könighofer,</w:t>
      </w:r>
      <w:r>
        <w:t xml:space="preserve"> </w:t>
      </w:r>
      <w:r>
        <w:t xml:space="preserve">“</w:t>
      </w:r>
      <w:r>
        <w:t xml:space="preserve">Safety shielding under delayed observation,</w:t>
      </w:r>
      <w:r>
        <w:t xml:space="preserve">”</w:t>
      </w:r>
      <w:r>
        <w:t xml:space="preserve"> </w:t>
      </w:r>
      <w:r>
        <w:t xml:space="preserve">in</w:t>
      </w:r>
      <w:r>
        <w:t xml:space="preserve"> </w:t>
      </w:r>
      <w:r>
        <w:rPr>
          <w:i/>
          <w:iCs/>
        </w:rPr>
        <w:t xml:space="preserve">Proc. Int. Conf. Automated Planning and Scheduling</w:t>
      </w:r>
      <w:r>
        <w:t xml:space="preserve">, vol. 33, pp. 80–85, 2023.</w:t>
      </w:r>
    </w:p>
    <w:p>
      <w:pPr>
        <w:pStyle w:val="BodyText"/>
      </w:pPr>
      <w:r>
        <w:t xml:space="preserve">[10] W. Wang, D. Han, X. Luo, and D. Li,</w:t>
      </w:r>
      <w:r>
        <w:t xml:space="preserve"> </w:t>
      </w:r>
      <w:r>
        <w:t xml:space="preserve">“</w:t>
      </w:r>
      <w:r>
        <w:t xml:space="preserve">Addressing signal delay in deep reinforcement learning,</w:t>
      </w:r>
      <w:r>
        <w:t xml:space="preserve">”</w:t>
      </w:r>
      <w:r>
        <w:t xml:space="preserve"> </w:t>
      </w:r>
      <w:r>
        <w:t xml:space="preserve">in</w:t>
      </w:r>
      <w:r>
        <w:t xml:space="preserve"> </w:t>
      </w:r>
      <w:r>
        <w:rPr>
          <w:i/>
          <w:iCs/>
        </w:rPr>
        <w:t xml:space="preserve">Proc. Int. Conf. Learning Representations</w:t>
      </w:r>
      <w:r>
        <w:t xml:space="preserve">, 2024. [Online]. Available:</w:t>
      </w:r>
      <w:r>
        <w:t xml:space="preserve"> </w:t>
      </w:r>
      <w:hyperlink r:id="rId64">
        <w:r>
          <w:rPr>
            <w:rStyle w:val="Hyperlink"/>
          </w:rPr>
          <w:t xml:space="preserve">https://openreview.net/forum?id=Z8UfDs4J46</w:t>
        </w:r>
      </w:hyperlink>
    </w:p>
    <w:p>
      <w:pPr>
        <w:pStyle w:val="BodyText"/>
      </w:pPr>
      <w:r>
        <w:t xml:space="preserve">[11] Q. Wu</w:t>
      </w:r>
      <w:r>
        <w:t xml:space="preserve"> </w:t>
      </w:r>
      <w:r>
        <w:rPr>
          <w:i/>
          <w:iCs/>
        </w:rPr>
        <w:t xml:space="preserve">et al.</w:t>
      </w:r>
      <w:r>
        <w:t xml:space="preserve">,</w:t>
      </w:r>
      <w:r>
        <w:t xml:space="preserve"> </w:t>
      </w:r>
      <w:r>
        <w:t xml:space="preserve">“</w:t>
      </w:r>
      <w:r>
        <w:t xml:space="preserve">Directly forecasting belief for reinforcement learning with delays,</w:t>
      </w:r>
      <w:r>
        <w:t xml:space="preserve">”</w:t>
      </w:r>
      <w:r>
        <w:t xml:space="preserve"> </w:t>
      </w:r>
      <w:r>
        <w:t xml:space="preserve">in</w:t>
      </w:r>
      <w:r>
        <w:t xml:space="preserve"> </w:t>
      </w:r>
      <w:r>
        <w:rPr>
          <w:i/>
          <w:iCs/>
        </w:rPr>
        <w:t xml:space="preserve">Proc. Int. Conf. Machine Learning</w:t>
      </w:r>
      <w:r>
        <w:t xml:space="preserve">, 2025.</w:t>
      </w:r>
    </w:p>
    <w:p>
      <w:pPr>
        <w:pStyle w:val="BodyText"/>
      </w:pPr>
      <w:r>
        <w:t xml:space="preserve">[12] Y. Bouteiller, S. Ramstedt, G. Beltrame, C. Pal, and J. Binas,</w:t>
      </w:r>
      <w:r>
        <w:t xml:space="preserve"> </w:t>
      </w:r>
      <w:r>
        <w:t xml:space="preserve">“</w:t>
      </w:r>
      <w:r>
        <w:t xml:space="preserve">Reinforcement learning with random delays,</w:t>
      </w:r>
      <w:r>
        <w:t xml:space="preserve">”</w:t>
      </w:r>
      <w:r>
        <w:t xml:space="preserve"> </w:t>
      </w:r>
      <w:r>
        <w:t xml:space="preserve">in</w:t>
      </w:r>
      <w:r>
        <w:t xml:space="preserve"> </w:t>
      </w:r>
      <w:r>
        <w:rPr>
          <w:i/>
          <w:iCs/>
        </w:rPr>
        <w:t xml:space="preserve">Proc. Int. Conf. Learning Representations</w:t>
      </w:r>
      <w:r>
        <w:t xml:space="preserve">, 2021.</w:t>
      </w:r>
    </w:p>
    <w:p>
      <w:pPr>
        <w:pStyle w:val="BodyText"/>
      </w:pPr>
      <w:r>
        <w:t xml:space="preserve">[13] A. Tabrizian, Z. Huang, A. Aziz, and P. Wei,</w:t>
      </w:r>
      <w:r>
        <w:t xml:space="preserve"> </w:t>
      </w:r>
      <w:r>
        <w:t xml:space="preserve">“</w:t>
      </w:r>
      <w:r>
        <w:t xml:space="preserve">Delay-aware reinforcement learning for highway on-ramp merging under stochastic communication latency,</w:t>
      </w:r>
      <w:r>
        <w:t xml:space="preserve">”</w:t>
      </w:r>
      <w:r>
        <w:t xml:space="preserve"> </w:t>
      </w:r>
      <w:r>
        <w:t xml:space="preserve">arXiv:2403.11852v5, May 2026.</w:t>
      </w:r>
    </w:p>
    <w:p>
      <w:pPr>
        <w:pStyle w:val="BodyText"/>
      </w:pPr>
      <w:r>
        <w:t xml:space="preserve">[14] J. Lubars</w:t>
      </w:r>
      <w:r>
        <w:t xml:space="preserve"> </w:t>
      </w:r>
      <w:r>
        <w:rPr>
          <w:i/>
          <w:iCs/>
        </w:rPr>
        <w:t xml:space="preserve">et al.</w:t>
      </w:r>
      <w:r>
        <w:t xml:space="preserve">,</w:t>
      </w:r>
      <w:r>
        <w:t xml:space="preserve"> </w:t>
      </w:r>
      <w:r>
        <w:t xml:space="preserve">“</w:t>
      </w:r>
      <w:r>
        <w:t xml:space="preserve">Combining reinforcement learning with model predictive control for on-ramp merging,</w:t>
      </w:r>
      <w:r>
        <w:t xml:space="preserve">”</w:t>
      </w:r>
      <w:r>
        <w:t xml:space="preserve"> </w:t>
      </w:r>
      <w:r>
        <w:t xml:space="preserve">in</w:t>
      </w:r>
      <w:r>
        <w:t xml:space="preserve"> </w:t>
      </w:r>
      <w:r>
        <w:rPr>
          <w:i/>
          <w:iCs/>
        </w:rPr>
        <w:t xml:space="preserve">Proc. IEEE Int. Intelligent Transportation Systems Conf.</w:t>
      </w:r>
      <w:r>
        <w:t xml:space="preserve">, pp. 942–947, 2021.</w:t>
      </w:r>
    </w:p>
    <w:p>
      <w:pPr>
        <w:pStyle w:val="BodyText"/>
      </w:pPr>
      <w:r>
        <w:t xml:space="preserve">[15] S. Udatha, Y. Lyu, and J. Dolan,</w:t>
      </w:r>
      <w:r>
        <w:t xml:space="preserve"> </w:t>
      </w:r>
      <w:r>
        <w:t xml:space="preserve">“</w:t>
      </w:r>
      <w:r>
        <w:t xml:space="preserve">Reinforcement learning with probabilistically safe control barrier functions for ramp merging,</w:t>
      </w:r>
      <w:r>
        <w:t xml:space="preserve">”</w:t>
      </w:r>
      <w:r>
        <w:t xml:space="preserve"> </w:t>
      </w:r>
      <w:r>
        <w:t xml:space="preserve">in</w:t>
      </w:r>
      <w:r>
        <w:t xml:space="preserve"> </w:t>
      </w:r>
      <w:r>
        <w:rPr>
          <w:i/>
          <w:iCs/>
        </w:rPr>
        <w:t xml:space="preserve">Proc. IEEE Int. Conf. Robotics and Automation</w:t>
      </w:r>
      <w:r>
        <w:t xml:space="preserve">, pp. 5625–5630, 2023.</w:t>
      </w:r>
    </w:p>
    <w:p>
      <w:pPr>
        <w:pStyle w:val="BodyText"/>
      </w:pPr>
      <w:r>
        <w:t xml:space="preserve">[16] Z. Yuan</w:t>
      </w:r>
      <w:r>
        <w:t xml:space="preserve"> </w:t>
      </w:r>
      <w:r>
        <w:rPr>
          <w:i/>
          <w:iCs/>
        </w:rPr>
        <w:t xml:space="preserve">et al.</w:t>
      </w:r>
      <w:r>
        <w:t xml:space="preserve">,</w:t>
      </w:r>
      <w:r>
        <w:t xml:space="preserve"> </w:t>
      </w:r>
      <w:r>
        <w:t xml:space="preserve">“</w:t>
      </w:r>
      <w:r>
        <w:t xml:space="preserve">Safe-control-gym: A unified benchmark suite for safe learning-based control and reinforcement learning in robotics,</w:t>
      </w:r>
      <w:r>
        <w:t xml:space="preserve">”</w:t>
      </w:r>
      <w:r>
        <w:t xml:space="preserve"> </w:t>
      </w:r>
      <w:r>
        <w:rPr>
          <w:i/>
          <w:iCs/>
        </w:rPr>
        <w:t xml:space="preserve">IEEE Robotics and Automation Letters</w:t>
      </w:r>
      <w:r>
        <w:t xml:space="preserve">, vol. 7, no. 4, pp. 11142–11149, 2022.</w:t>
      </w:r>
    </w:p>
    <w:p>
      <w:pPr>
        <w:pStyle w:val="BodyText"/>
      </w:pPr>
      <w:r>
        <w:t xml:space="preserve">[17] J. Schulman, F. Wolski, P. Dhariwal, A. Radford, and O. Klimov,</w:t>
      </w:r>
      <w:r>
        <w:t xml:space="preserve"> </w:t>
      </w:r>
      <w:r>
        <w:t xml:space="preserve">“</w:t>
      </w:r>
      <w:r>
        <w:t xml:space="preserve">Proximal policy optimization algorithms,</w:t>
      </w:r>
      <w:r>
        <w:t xml:space="preserve">”</w:t>
      </w:r>
      <w:r>
        <w:t xml:space="preserve"> </w:t>
      </w:r>
      <w:r>
        <w:t xml:space="preserve">arXiv:1707.06347, 2017.</w:t>
      </w:r>
    </w:p>
    <w:p>
      <w:pPr>
        <w:pStyle w:val="BodyText"/>
      </w:pPr>
      <w:r>
        <w:t xml:space="preserve">[18] A. Raffin</w:t>
      </w:r>
      <w:r>
        <w:t xml:space="preserve"> </w:t>
      </w:r>
      <w:r>
        <w:rPr>
          <w:i/>
          <w:iCs/>
        </w:rPr>
        <w:t xml:space="preserve">et al.</w:t>
      </w:r>
      <w:r>
        <w:t xml:space="preserve">,</w:t>
      </w:r>
      <w:r>
        <w:t xml:space="preserve"> </w:t>
      </w:r>
      <w:r>
        <w:t xml:space="preserve">“</w:t>
      </w:r>
      <w:r>
        <w:t xml:space="preserve">Stable-Baselines3: Reliable reinforcement learning implementations,</w:t>
      </w:r>
      <w:r>
        <w:t xml:space="preserve">”</w:t>
      </w:r>
      <w:r>
        <w:t xml:space="preserve"> </w:t>
      </w:r>
      <w:r>
        <w:rPr>
          <w:i/>
          <w:iCs/>
        </w:rPr>
        <w:t xml:space="preserve">Journal of Machine Learning Research</w:t>
      </w:r>
      <w:r>
        <w:t xml:space="preserve">, vol. 22, no. 268, pp. 1–8, 2021.</w:t>
      </w:r>
    </w:p>
    <w:p>
      <w:pPr>
        <w:pStyle w:val="BodyText"/>
      </w:pPr>
      <w:r>
        <w:t xml:space="preserve">[19] R. Agarwal, M. Schwarzer, P. S. Castro, A. C. Courville, and M. G. Bellemare,</w:t>
      </w:r>
      <w:r>
        <w:t xml:space="preserve"> </w:t>
      </w:r>
      <w:r>
        <w:t xml:space="preserve">“</w:t>
      </w:r>
      <w:r>
        <w:t xml:space="preserve">Deep reinforcement learning at the edge of the statistical precipice,</w:t>
      </w:r>
      <w:r>
        <w:t xml:space="preserve">”</w:t>
      </w:r>
      <w:r>
        <w:t xml:space="preserve"> </w:t>
      </w:r>
      <w:r>
        <w:t xml:space="preserve">in</w:t>
      </w:r>
      <w:r>
        <w:t xml:space="preserve"> </w:t>
      </w:r>
      <w:r>
        <w:rPr>
          <w:i/>
          <w:iCs/>
        </w:rPr>
        <w:t xml:space="preserve">Advances in Neural Information Processing Systems</w:t>
      </w:r>
      <w:r>
        <w:t xml:space="preserve">, vol. 34, 2021.</w:t>
      </w:r>
    </w:p>
    <w:p>
      <w:pPr>
        <w:pStyle w:val="BodyText"/>
      </w:pPr>
      <w:r>
        <w:t xml:space="preserve">[20] S. Holm,</w:t>
      </w:r>
      <w:r>
        <w:t xml:space="preserve"> </w:t>
      </w:r>
      <w:r>
        <w:t xml:space="preserve">“</w:t>
      </w:r>
      <w:r>
        <w:t xml:space="preserve">A simple sequentially rejective multiple test procedure,</w:t>
      </w:r>
      <w:r>
        <w:t xml:space="preserve">”</w:t>
      </w:r>
      <w:r>
        <w:t xml:space="preserve"> </w:t>
      </w:r>
      <w:r>
        <w:rPr>
          <w:i/>
          <w:iCs/>
        </w:rPr>
        <w:t xml:space="preserve">Scandinavian Journal of Statistics</w:t>
      </w:r>
      <w:r>
        <w:t xml:space="preserve">, vol. 6, no. 2, pp. 65–70, 1979.</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7" Type="http://schemas.openxmlformats.org/officeDocument/2006/relationships/image" Target="media/rId37.png"/><Relationship Id="rId48" Type="http://schemas.openxmlformats.org/officeDocument/2006/relationships/image" Target="media/rId48.png"/><Relationship Id="rId40" Type="http://schemas.openxmlformats.org/officeDocument/2006/relationships/image" Target="media/rId40.png"/><Relationship Id="rId45" Type="http://schemas.openxmlformats.org/officeDocument/2006/relationships/hyperlink" Target="https://github.com/rizwanalihasalivi/LANS-RISK/tree/integration/aris-frozen-workflow/conference_downloads/v5" TargetMode="External"/><Relationship Id="rId64" Type="http://schemas.openxmlformats.org/officeDocument/2006/relationships/hyperlink" Target="https://openreview.net/forum?id=Z8UfDs4J46"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github.com/rizwanalihasalivi/LANS-RISK/tree/integration/aris-frozen-workflow/conference_downloads/v5" TargetMode="External"/><Relationship Id="rId64" Type="http://schemas.openxmlformats.org/officeDocument/2006/relationships/hyperlink" Target="https://openreview.net/forum?id=Z8UfDs4J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LANS-RISK: Queue-Aware Supervision of Learned Driving Policies under Actuation Delay</dc:title>
  <dc:creator/>
  <cp:keywords/>
  <dcterms:created xsi:type="dcterms:W3CDTF">2026-10-23T09:21:43Z</dcterms:created>
  <dcterms:modified xsi:type="dcterms:W3CDTF">2026-10-23T09:21:43Z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Delayed commands can become inappropriate before execution. We evaluate LANS-RISK, a queue-aware supervisor that incorporates a frozen PPO proposal and a retained trajectory into sampled planning. Candidate ranking prioritizes collision-free duration, corridor retention and tracking cost. The complete main-confirmation grid contains 44,000 records, 12 controllers, four synthetic traffic scenarios and five command delays. LANS-RISK and nominal MPC attain identical observed contiguous passing thresholds: 1,000 ms on Highway and Intersection, 700 ms on Merge and 500 ms on Roundabout. Removing queue prediction reduces corridor completion in 45 of 60 paired actor/scenario/delay contrasts, all significant after study-wide Holm correction. Removing the actor leaves completion rates unchanged. Tracking differences against MPC are scenario-dependent. The results support queue compensation within this implementation, without establishing a general learned-proposal advantage, superiority over MPC or a formal safety guarantee.</vt:lpwstr>
  </property>
</Properties>
</file>