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lans-opening-report-research-update"/>
    <w:p>
      <w:pPr>
        <w:pStyle w:val="Heading1"/>
      </w:pPr>
      <w:r>
        <w:t xml:space="preserve">LANS Opening Report: Research Update</w:t>
      </w:r>
    </w:p>
    <w:p>
      <w:pPr>
        <w:pStyle w:val="FirstParagraph"/>
      </w:pPr>
      <w:r>
        <w:rPr>
          <w:b/>
          <w:bCs/>
        </w:rPr>
        <w:t xml:space="preserve">Rizwan Ali — Supervisor: Jie Tian</w:t>
      </w:r>
      <w:r>
        <w:br/>
      </w:r>
      <w:r>
        <w:rPr>
          <w:b/>
          <w:bCs/>
        </w:rPr>
        <w:t xml:space="preserve">Research update: 27 October 2026.</w:t>
      </w:r>
      <w:r>
        <w:t xml:space="preserve"> </w:t>
      </w:r>
      <w:r>
        <w:t xml:space="preserve">This accompanies the earlier opening report;</w:t>
      </w:r>
      <w:r>
        <w:t xml:space="preserve"> </w:t>
      </w:r>
      <w:r>
        <w:t xml:space="preserve">it does not retroactively validate historical numbers or constitute final</w:t>
      </w:r>
      <w:r>
        <w:t xml:space="preserve"> </w:t>
      </w:r>
      <w:r>
        <w:t xml:space="preserve">institutional submission. Student number and official major remain to be supplied.</w:t>
      </w:r>
    </w:p>
    <w:bookmarkStart w:id="20" w:name="research-problem-and-scope"/>
    <w:p>
      <w:pPr>
        <w:pStyle w:val="Heading2"/>
      </w:pPr>
      <w:r>
        <w:t xml:space="preserve">Research problem and scope</w:t>
      </w:r>
    </w:p>
    <w:p>
      <w:pPr>
        <w:pStyle w:val="FirstParagraph"/>
      </w:pPr>
      <w:r>
        <w:t xml:space="preserve">The thesis investigates whether bounded learned steering assistance can improve a</w:t>
      </w:r>
      <w:r>
        <w:t xml:space="preserve"> </w:t>
      </w:r>
      <w:r>
        <w:t xml:space="preserve">strong analytical path tracker when learned commands are delayed or unavailable.</w:t>
      </w:r>
      <w:r>
        <w:t xml:space="preserve"> </w:t>
      </w:r>
      <w:r>
        <w:t xml:space="preserve">The agreed architecture is independent LQR baseline plus asynchronous PPO residual</w:t>
      </w:r>
      <w:r>
        <w:t xml:space="preserve"> </w:t>
      </w:r>
      <w:r>
        <w:t xml:space="preserve">and a predictive rule-based supervisor. PPO full-command control with LQR-only</w:t>
      </w:r>
      <w:r>
        <w:t xml:space="preserve"> </w:t>
      </w:r>
      <w:r>
        <w:t xml:space="preserve">switching is a different architecture and is outside this campaign.</w:t>
      </w:r>
    </w:p>
    <w:bookmarkEnd w:id="20"/>
    <w:bookmarkStart w:id="21" w:name="architecture-and-actual-state-convention"/>
    <w:p>
      <w:pPr>
        <w:pStyle w:val="Heading2"/>
      </w:pPr>
      <w:r>
        <w:t xml:space="preserve">Architecture and actual state convention</w:t>
      </w:r>
    </w:p>
    <w:p>
      <w:pPr>
        <w:pStyle w:val="FirstParagraph"/>
      </w:pPr>
      <w:r>
        <w:t xml:space="preserve">The executed control law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sat</m:t>
              </m:r>
            </m:e>
            <m: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r>
                    <m:rPr>
                      <m:sty m:val="p"/>
                    </m:rPr>
                    <m:t>,</m:t>
                  </m:r>
                  <m:r>
                    <m:t>0.5</m:t>
                  </m:r>
                </m:e>
              </m:d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Q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  <m:r>
                <m:t>Δ</m:t>
              </m:r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evaluated internal error state is</w:t>
      </w:r>
      <w:r>
        <w:t xml:space="preserve"> </w:t>
      </w:r>
      <m:oMath>
        <m:sSup>
          <m:e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t>e</m:t>
                    </m:r>
                  </m:e>
                  <m:sub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v</m:t>
                    </m:r>
                  </m:e>
                  <m:sub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e</m:t>
                    </m:r>
                  </m:e>
                  <m:sub>
                    <m:r>
                      <m:t>φ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r</m:t>
                </m:r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paper’s rate-state representation requires the small-angle transformations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e</m:t>
                </m:r>
              </m:e>
            </m:acc>
          </m:e>
          <m:sub>
            <m:r>
              <m:t>y</m:t>
            </m:r>
          </m:sub>
        </m:sSub>
        <m:r>
          <m:rPr>
            <m:sty m:val="p"/>
          </m:rPr>
          <m:t>≈</m:t>
        </m:r>
        <m:sSub>
          <m:e>
            <m:r>
              <m:t>v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e</m:t>
            </m:r>
          </m:e>
          <m:sub>
            <m:r>
              <m:t>φ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e</m:t>
                </m:r>
              </m:e>
            </m:acc>
          </m:e>
          <m:sub>
            <m:r>
              <m:t>φ</m:t>
            </m:r>
          </m:sub>
        </m:sSub>
        <m:r>
          <m:rPr>
            <m:sty m:val="p"/>
          </m:rPr>
          <m:t>≈</m:t>
        </m:r>
        <m:r>
          <m:t>r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x</m:t>
            </m:r>
          </m:sub>
        </m:sSub>
        <m:r>
          <m:t>κ</m:t>
        </m:r>
      </m:oMath>
      <w:r>
        <w:t xml:space="preserve">; these states must not simply be renamed.</w:t>
      </w:r>
      <w:r>
        <w:t xml:space="preserve"> </w:t>
      </w:r>
      <w:r>
        <w:t xml:space="preserve">The simulator assumes available map station/reference preview and noisy lateral,</w:t>
      </w:r>
      <w:r>
        <w:t xml:space="preserve"> </w:t>
      </w:r>
      <w:r>
        <w:t xml:space="preserve">heading, yaw-rate and speed sensing; this is not a complete localization system.</w:t>
      </w:r>
    </w:p>
    <w:p>
      <w:pPr>
        <w:pStyle w:val="BodyText"/>
      </w:pPr>
      <w:r>
        <w:t xml:space="preserve">Observation Builder uses estimated state, measured speed, reference curvatures,</w:t>
      </w:r>
      <w:r>
        <w:t xml:space="preserve"> </w:t>
      </w:r>
      <w:r>
        <w:t xml:space="preserve">actual steering and observable execution history. Twenty channels are retained</w:t>
      </w:r>
      <w:r>
        <w:t xml:space="preserve"> </w:t>
      </w:r>
      <w:r>
        <w:t xml:space="preserve">for exact actor transfer, with five unavailable pending/forecast/service channels</w:t>
      </w:r>
      <w:r>
        <w:t xml:space="preserve"> </w:t>
      </w:r>
      <w:r>
        <w:t xml:space="preserve">fixed to zero. Available packets are delivered before building observations.</w:t>
      </w:r>
    </w:p>
    <w:p>
      <w:pPr>
        <w:pStyle w:val="BodyText"/>
      </w:pPr>
      <w:r>
        <w:t xml:space="preserve">The local LQR uses the frozen speed schedule/feedforward. A separate PPO worker</w:t>
      </w:r>
      <w:r>
        <w:t xml:space="preserve"> </w:t>
      </w:r>
      <w:r>
        <w:t xml:space="preserve">proposes a residual 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0.08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0.04</m:t>
        </m:r>
        <m:r>
          <m:rPr>
            <m:sty m:val="p"/>
          </m:rPr>
          <m:t>,</m:t>
        </m:r>
        <m:r>
          <m:t>0.08</m:t>
        </m:r>
        <m:r>
          <m:rPr>
            <m:sty m:val="p"/>
          </m:rPr>
          <m:t>}</m:t>
        </m:r>
      </m:oMath>
      <w:r>
        <w:t xml:space="preserve">rad. The supervisor rejects</w:t>
      </w:r>
      <w:r>
        <w:t xml:space="preserve"> </w:t>
      </w:r>
      <w:r>
        <w:t xml:space="preserve">invalid/stale packets, checks a nominal predicted cost improvement, and manages</w:t>
      </w:r>
      <w:r>
        <w:t xml:space="preserve"> </w:t>
      </w:r>
      <w:r>
        <w:t xml:space="preserve">bounded residual authority. A50ms proposal-age cutoff is distinct from the</w:t>
      </w:r>
      <w:r>
        <w:t xml:space="preserve"> </w:t>
      </w:r>
      <w:r>
        <w:t xml:space="preserve">manuscript’s5ms gain threshold and from actual CPU inference duration. Three</w:t>
      </w:r>
      <w:r>
        <w:t xml:space="preserve"> </w:t>
      </w:r>
      <w:r>
        <w:t xml:space="preserve">favourable CONTROL TICKS define admission persistence, potentially using a held</w:t>
      </w:r>
      <w:r>
        <w:t xml:space="preserve"> </w:t>
      </w:r>
      <w:r>
        <w:t xml:space="preserve">packet; these are not three independent fresh responses. Authority increases at</w:t>
      </w:r>
      <w:r>
        <w:t xml:space="preserve"> </w:t>
      </w:r>
      <w:r>
        <w:t xml:space="preserve">most0.05 per tick; rejection revokes authority immediately.</w:t>
      </w:r>
    </w:p>
    <w:p>
      <w:pPr>
        <w:pStyle w:val="BodyText"/>
      </w:pPr>
      <w:r>
        <w:t xml:space="preserve">Final steering angle and actuator rate are limited; a0.05s actuator lag is modeled.</w:t>
      </w:r>
      <w:r>
        <w:t xml:space="preserve"> </w:t>
      </w:r>
      <w:r>
        <w:t xml:space="preserve">Predicted cost improvement and LQR fallback do not constitute a nonlinear safety</w:t>
      </w:r>
      <w:r>
        <w:t xml:space="preserve"> </w:t>
      </w:r>
      <w:r>
        <w:t xml:space="preserve">certificate. LQR’s actual execution timing must be measured, not assumed.</w:t>
      </w:r>
    </w:p>
    <w:bookmarkEnd w:id="21"/>
    <w:bookmarkStart w:id="22" w:name="objectives"/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t xml:space="preserve">Establish consistent state, steering, sensing, actuator and packet semantics.</w:t>
      </w:r>
    </w:p>
    <w:p>
      <w:pPr>
        <w:pStyle w:val="Compact"/>
        <w:numPr>
          <w:ilvl w:val="0"/>
          <w:numId w:val="1001"/>
        </w:numPr>
      </w:pPr>
      <w:r>
        <w:t xml:space="preserve">Train causal bounded PPO residuals and distinguish their incremental value</w:t>
      </w:r>
      <w:r>
        <w:t xml:space="preserve"> </w:t>
      </w:r>
      <w:r>
        <w:t xml:space="preserve">from supervised initialization and simple nonlearned corrections.</w:t>
      </w:r>
    </w:p>
    <w:p>
      <w:pPr>
        <w:pStyle w:val="Compact"/>
        <w:numPr>
          <w:ilvl w:val="0"/>
          <w:numId w:val="1001"/>
        </w:numPr>
      </w:pPr>
      <w:r>
        <w:t xml:space="preserve">Evaluate predictive/freshness supervision and recovery against simple gains.</w:t>
      </w:r>
    </w:p>
    <w:p>
      <w:pPr>
        <w:pStyle w:val="Compact"/>
        <w:numPr>
          <w:ilvl w:val="0"/>
          <w:numId w:val="1001"/>
        </w:numPr>
      </w:pPr>
      <w:r>
        <w:t xml:space="preserve">Separate inference duration, packet age, queue/IPC and local deadlines.</w:t>
      </w:r>
    </w:p>
    <w:p>
      <w:pPr>
        <w:pStyle w:val="Compact"/>
        <w:numPr>
          <w:ilvl w:val="0"/>
          <w:numId w:val="1001"/>
        </w:numPr>
      </w:pPr>
      <w:r>
        <w:t xml:space="preserve">Measure heading/steering tradeoffs, survival and mirrored-path behavior.</w:t>
      </w:r>
    </w:p>
    <w:p>
      <w:pPr>
        <w:pStyle w:val="Compact"/>
        <w:numPr>
          <w:ilvl w:val="0"/>
          <w:numId w:val="1001"/>
        </w:numPr>
      </w:pPr>
      <w:r>
        <w:t xml:space="preserve">Confirm only a frozen eligible design on reserved data; keep failures visible.</w:t>
      </w:r>
    </w:p>
    <w:p>
      <w:pPr>
        <w:pStyle w:val="Compact"/>
        <w:numPr>
          <w:ilvl w:val="0"/>
          <w:numId w:val="1001"/>
        </w:numPr>
      </w:pPr>
      <w:r>
        <w:t xml:space="preserve">Assess native integration separately from actual target-hardware readiness.</w:t>
      </w:r>
    </w:p>
    <w:bookmarkEnd w:id="22"/>
    <w:bookmarkStart w:id="23" w:name="proposed-contributions-and-prior-work"/>
    <w:p>
      <w:pPr>
        <w:pStyle w:val="Heading2"/>
      </w:pPr>
      <w:r>
        <w:t xml:space="preserve">Proposed contributions and prior work</w:t>
      </w:r>
    </w:p>
    <w:p>
      <w:pPr>
        <w:pStyle w:val="FirstParagraph"/>
      </w:pPr>
      <w:r>
        <w:t xml:space="preserve">Residual learning, predictive filtering, delayed-observation shields and backup</w:t>
      </w:r>
      <w:r>
        <w:t xml:space="preserve"> </w:t>
      </w:r>
      <w:r>
        <w:t xml:space="preserve">runtime-assurance architectures already exist. This thesis targets explicit</w:t>
      </w:r>
      <w:r>
        <w:t xml:space="preserve"> </w:t>
      </w:r>
      <w:r>
        <w:t xml:space="preserve">causal execution semantics, predictive residual authority and matched attribution</w:t>
      </w:r>
      <w:r>
        <w:t xml:space="preserve"> </w:t>
      </w:r>
      <w:r>
        <w:t xml:space="preserve">under vehicle tracking conditions. Novelty and the neuro-symbolic label remain</w:t>
      </w:r>
      <w:r>
        <w:t xml:space="preserve"> </w:t>
      </w:r>
      <w:r>
        <w:t xml:space="preserve">subject to a broader verified review and demonstrable mechanism benefit.</w:t>
      </w:r>
    </w:p>
    <w:p>
      <w:pPr>
        <w:pStyle w:val="BodyText"/>
      </w:pPr>
      <w:r>
        <w:t xml:space="preserve">Primary supplied texts include Wabersich–Zeilinger predictive safety filtering;</w:t>
      </w:r>
      <w:r>
        <w:t xml:space="preserve"> </w:t>
      </w:r>
      <w:r>
        <w:t xml:space="preserve">Tearle et al. learning-based racing filtering; Cano Cordoba et al. delayed</w:t>
      </w:r>
      <w:r>
        <w:t xml:space="preserve"> </w:t>
      </w:r>
      <w:r>
        <w:t xml:space="preserve">observation shielding; Kalaria et al. delay-aware robust driving/racing; and</w:t>
      </w:r>
      <w:r>
        <w:t xml:space="preserve"> </w:t>
      </w:r>
      <w:r>
        <w:t xml:space="preserve">Tabrizian et al. delay-aware merging. Their safety proofs, tasks and delay types</w:t>
      </w:r>
      <w:r>
        <w:t xml:space="preserve"> </w:t>
      </w:r>
      <w:r>
        <w:t xml:space="preserve">must not be replaced by a direct ranking of unlike percentages.</w:t>
      </w:r>
    </w:p>
    <w:bookmarkEnd w:id="23"/>
    <w:bookmarkStart w:id="24" w:name="frozen-new-campaign"/>
    <w:p>
      <w:pPr>
        <w:pStyle w:val="Heading2"/>
      </w:pPr>
      <w:r>
        <w:t xml:space="preserve">Frozen new campaign</w:t>
      </w:r>
    </w:p>
    <w:p>
      <w:pPr>
        <w:pStyle w:val="FirstParagraph"/>
      </w:pPr>
      <w:r>
        <w:t xml:space="preserve">Six causal PPO pilots use three seeds, scratch versus supervised initialization,</w:t>
      </w:r>
      <w:r>
        <w:t xml:space="preserve"> </w:t>
      </w:r>
      <w:r>
        <w:t xml:space="preserve">and25,000 additional steps each:150,000 total. Pretraining is extra budget. The</w:t>
      </w:r>
      <w:r>
        <w:t xml:space="preserve"> </w:t>
      </w:r>
      <w:r>
        <w:t xml:space="preserve">reward uses executed lateral/heading error, steering effort/movement and failure;</w:t>
      </w:r>
      <w:r>
        <w:t xml:space="preserve"> </w:t>
      </w:r>
      <w:r>
        <w:t xml:space="preserve">no exogenous delay penalty is claimed to train faster CPU execution.</w:t>
      </w:r>
    </w:p>
    <w:p>
      <w:pPr>
        <w:pStyle w:val="BodyText"/>
      </w:pPr>
      <w:r>
        <w:t xml:space="preserve">The864-episode development grid includes15/25m/s, sine/DLC, exact left/right</w:t>
      </w:r>
      <w:r>
        <w:t xml:space="preserve"> </w:t>
      </w:r>
      <w:r>
        <w:t xml:space="preserve">mirrors, nominal/tire-mismatch/20ms/100ms service conditions and nine methods.</w:t>
      </w:r>
      <w:r>
        <w:t xml:space="preserve"> </w:t>
      </w:r>
      <w:r>
        <w:t xml:space="preserve">All episodes record true heading error, lateral error, actuator movement,</w:t>
      </w:r>
      <w:r>
        <w:t xml:space="preserve"> </w:t>
      </w:r>
      <w:r>
        <w:t xml:space="preserve">residual authority and measured processing. Mirrors share canonical noise and</w:t>
      </w:r>
      <w:r>
        <w:t xml:space="preserve"> </w:t>
      </w:r>
      <w:r>
        <w:t xml:space="preserve">signed initial conditions; they are not independent training seeds.</w:t>
      </w:r>
    </w:p>
    <w:p>
      <w:pPr>
        <w:pStyle w:val="BodyText"/>
      </w:pPr>
      <w:r>
        <w:t xml:space="preserve">The latency-gain comparator is a disclosed manuscript-inspired reconstruction,</w:t>
      </w:r>
      <w:r>
        <w:t xml:space="preserve"> </w:t>
      </w:r>
      <w:r>
        <w:t xml:space="preserve">with a common stale cutoff and authority cap, not an exact published-method</w:t>
      </w:r>
      <w:r>
        <w:t xml:space="preserve"> </w:t>
      </w:r>
      <w:r>
        <w:t xml:space="preserve">reproduction. Confirmation uses new noise and held-out sine parameters only if</w:t>
      </w:r>
      <w:r>
        <w:t xml:space="preserve"> </w:t>
      </w:r>
      <w:r>
        <w:t xml:space="preserve">predeclared criteria pass. Native Webots and actual-worker tests are separate.</w:t>
      </w:r>
    </w:p>
    <w:bookmarkEnd w:id="24"/>
    <w:bookmarkStart w:id="25" w:name="claim-corrections"/>
    <w:p>
      <w:pPr>
        <w:pStyle w:val="Heading2"/>
      </w:pPr>
      <w:r>
        <w:t xml:space="preserve">Claim corrections</w:t>
      </w:r>
    </w:p>
    <w:p>
      <w:pPr>
        <w:pStyle w:val="FirstParagraph"/>
      </w:pPr>
      <w:r>
        <w:t xml:space="preserve">The original49x speedup, GPU energy ratio, p99-as-WCET, broad generalization,</w:t>
      </w:r>
      <w:r>
        <w:t xml:space="preserve"> </w:t>
      </w:r>
      <w:r>
        <w:t xml:space="preserve">&gt;200ms delay bound and global stability claims are not inherited. Finite envelope</w:t>
      </w:r>
      <w:r>
        <w:t xml:space="preserve"> </w:t>
      </w:r>
      <w:r>
        <w:t xml:space="preserve">survival is not Lyapunov stability. Bounded residuals support only a conditional</w:t>
      </w:r>
      <w:r>
        <w:t xml:space="preserve"> </w:t>
      </w:r>
      <w:r>
        <w:t xml:space="preserve">nominal disturbance-bound argument, not automatic zero-error convergence.</w:t>
      </w:r>
    </w:p>
    <w:p>
      <w:pPr>
        <w:pStyle w:val="BodyText"/>
      </w:pPr>
      <w:r>
        <w:t xml:space="preserve">Physical sensor-to-command and actuator validation require hardware. The laptop</w:t>
      </w:r>
      <w:r>
        <w:t xml:space="preserve"> </w:t>
      </w:r>
      <w:r>
        <w:t xml:space="preserve">kit measures exported actor/IPC timing only. General-purpose cloud execution</w:t>
      </w:r>
      <w:r>
        <w:t xml:space="preserve"> </w:t>
      </w:r>
      <w:r>
        <w:t xml:space="preserve">cannot establish guaranteed100Hz or vehicle readiness from finite tests.</w:t>
      </w:r>
    </w:p>
    <w:bookmarkEnd w:id="25"/>
    <w:bookmarkStart w:id="26" w:name="evidence-and-remaining-work"/>
    <w:p>
      <w:pPr>
        <w:pStyle w:val="Heading2"/>
      </w:pPr>
      <w:r>
        <w:t xml:space="preserve">Evidence and remaining work</w:t>
      </w:r>
    </w:p>
    <w:p>
      <w:pPr>
        <w:pStyle w:val="FirstParagraph"/>
      </w:pPr>
      <w:r>
        <w:t xml:space="preserve">The campaign’s status.json and generated result tables are authoritative for</w:t>
      </w:r>
      <w:r>
        <w:t xml:space="preserve"> </w:t>
      </w:r>
      <w:r>
        <w:t xml:space="preserve">completed/failed stages. Matching a published controller, final bibliography</w:t>
      </w:r>
      <w:r>
        <w:t xml:space="preserve"> </w:t>
      </w:r>
      <w:r>
        <w:t xml:space="preserve">metadata, physical testing and any formal nonlinear safety guarantee remain</w:t>
      </w:r>
      <w:r>
        <w:t xml:space="preserve"> </w:t>
      </w:r>
      <w:r>
        <w:t xml:space="preserve">explicit external/theoretical gaps. The generated manuscript is a research draft.</w:t>
      </w:r>
    </w:p>
    <w:bookmarkEnd w:id="26"/>
    <w:bookmarkStart w:id="27" w:name="current-campaign-outcome"/>
    <w:p>
      <w:pPr>
        <w:pStyle w:val="Heading2"/>
      </w:pPr>
      <w:r>
        <w:t xml:space="preserve">Current campaign outcome</w:t>
      </w:r>
    </w:p>
    <w:p>
      <w:pPr>
        <w:pStyle w:val="FirstParagraph"/>
      </w:pPr>
      <w:r>
        <w:t xml:space="preserve">Development:864 episodes; eligible design:False. Fine-tuned PPO reduction versus LQR:-0.0439%. Actual-worker functional pass:True; observed timing pass:False. Native interface pass:True; native observed wall timing pass:False.</w:t>
      </w:r>
    </w:p>
    <w:p>
      <w:pPr>
        <w:pStyle w:val="BodyText"/>
      </w:pPr>
      <w:r>
        <w:t xml:space="preserve">These outcomes do not validate original manuscript speed/energy/safety claims. See development/README.md, reviewer-response.md and status.json for tradeoffs and remaining work.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2026-10-26T17:02:53Z</dcterms:created>
  <dcterms:modified xsi:type="dcterms:W3CDTF">2026-10-26T17:02:53Z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