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cc1ac0cc78568649f51e349836afd2fa4f1761"/>
    <w:p>
      <w:pPr>
        <w:pStyle w:val="Heading1"/>
      </w:pPr>
      <w:r>
        <w:t xml:space="preserve">Latency-Aware Residual Vehicle Control with Predictive Runtime Supervision</w:t>
      </w:r>
    </w:p>
    <w:p>
      <w:pPr>
        <w:pStyle w:val="FirstParagraph"/>
      </w:pPr>
      <w:r>
        <w:rPr>
          <w:b/>
          <w:bCs/>
        </w:rPr>
        <w:t xml:space="preserve">Revised research draft; not publication-ready.</w:t>
      </w:r>
      <w:r>
        <w:t xml:space="preserve"> </w:t>
      </w:r>
      <w:r>
        <w:t xml:space="preserve">Numerical results below belong only to the identified campaign.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evaluate bounded PPO residual assistance around a strong LQR baseline using a causal asynchronous execution interface and an explicit predictive supervisor. The supervisor combines packet freshness/validity, nominal cost comparison and recovery persistence. Matched constants and supervised initialization distinguish learning from filtering. Simulated-service tracking and actual process timing are reported separately. Formal safety, energy advantage and real-vehicle readiness are not established.</w:t>
      </w:r>
    </w:p>
    <w:bookmarkEnd w:id="20"/>
    <w:bookmarkStart w:id="21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The command is clip(delta_LQR + w * residual, -0.5, 0.5). The worker returns a categorical proposal in {-0.08,-0.04,0,0.04,0.08}rad. Policy inputs exclude pending outputs, future completion and configured service duration. The local observer/LQR/supervisor executes independently of the worker; independence is a design requiring timing validation. The nominal predictor compares baseline and candidate commands over200ms, with a50ms candidate hold followed by LQR. A50ms observation-age cutoff rejects stale proposals; candidate weights are0.1/0.25/0.5 with0.05/tick increases and3 good control ticks for admission. Exact protocol.json defines reward, actuator, costs and settings.</w:t>
      </w:r>
    </w:p>
    <w:bookmarkEnd w:id="21"/>
    <w:bookmarkStart w:id="22" w:name="evaluation"/>
    <w:p>
      <w:pPr>
        <w:pStyle w:val="Heading2"/>
      </w:pPr>
      <w:r>
        <w:t xml:space="preserve">Evaluation</w:t>
      </w:r>
    </w:p>
    <w:p>
      <w:pPr>
        <w:pStyle w:val="FirstParagraph"/>
      </w:pPr>
      <w:r>
        <w:t xml:space="preserve">Six25k PPO pilots: three paired seeds, scratch versus causal supervised initialization; pretraining is extra. All episodes log true lateral/heading error, actuator movement, timing and rejection reason. The simple latency-gain arm is a disclosed reconstruction, not a published-controller reproduction.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Lateral RMSE 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 vs 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-2.909%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finetune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fixed_authority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-10.024%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latency_gain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no_recovery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96/96</w:t>
            </w:r>
          </w:p>
        </w:tc>
      </w:tr>
    </w:tbl>
    <w:bookmarkEnd w:id="22"/>
    <w:bookmarkStart w:id="23" w:name="interpretation-and-limits"/>
    <w:p>
      <w:pPr>
        <w:pStyle w:val="Heading2"/>
      </w:pPr>
      <w:r>
        <w:t xml:space="preserve">Interpretation and limits</w:t>
      </w:r>
    </w:p>
    <w:p>
      <w:pPr>
        <w:pStyle w:val="FirstParagraph"/>
      </w:pPr>
      <w:r>
        <w:t xml:space="preserve">Development eligibility: False. All failed criteria are retained in decision.json. Known-path fresh noise is not unseen-road generalization. Whole training/noise pairs, rather than control ticks, are the independent comparison blocks. No arbitrary real-time, stability, GPU speedup or energy guarantee is inferred.</w:t>
      </w:r>
    </w:p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Primary uploaded literature includes Wabersich and Zeilinger predictive safety filtering; Tearle et al. learning-based racing safety filtering; Cano Cordoba et al. delayed-observation shielding; Kalaria et al. delay-aware robust driving/racing; and Tabrizian et al. delay-aware merging. Exact publication metadata and a broader runtime-assurance review must be verified before submission.</w:t>
      </w:r>
    </w:p>
    <w:bookmarkEnd w:id="24"/>
    <w:bookmarkStart w:id="28" w:name="development-figure"/>
    <w:p>
      <w:pPr>
        <w:pStyle w:val="Heading2"/>
      </w:pPr>
      <w:r>
        <w:t xml:space="preserve">Development figure</w:t>
      </w:r>
    </w:p>
    <w:p>
      <w:pPr>
        <w:pStyle w:val="CaptionedFigure"/>
      </w:pPr>
      <w:r>
        <w:drawing>
          <wp:inline>
            <wp:extent cx="5334000" cy="1955800"/>
            <wp:effectExtent b="0" l="0" r="0" t="0"/>
            <wp:docPr descr="Development metrics; error bars are seed-block SD, not independent-tick uncertainty." title="" id="26" name="Picture"/>
            <a:graphic>
              <a:graphicData uri="http://schemas.openxmlformats.org/drawingml/2006/picture">
                <pic:pic>
                  <pic:nvPicPr>
                    <pic:cNvPr descr="development-comparis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Development metrics; error bars are seed-block SD, not independent-tick uncertainty.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2026-10-26T17:02:28Z</dcterms:created>
  <dcterms:modified xsi:type="dcterms:W3CDTF">2026-10-26T17:02:28Z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