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cc1ac0cc78568649f51e349836afd2fa4f1761"/>
    <w:p>
      <w:pPr>
        <w:pStyle w:val="Heading1"/>
      </w:pPr>
      <w:r>
        <w:t xml:space="preserve">Latency-Aware Residual Vehicle Control with Predictive Runtime Supervision</w:t>
      </w:r>
    </w:p>
    <w:p>
      <w:pPr>
        <w:pStyle w:val="FirstParagraph"/>
      </w:pPr>
      <w:r>
        <w:rPr>
          <w:b/>
          <w:bCs/>
        </w:rPr>
        <w:t xml:space="preserve">Revised research draft; not publication-ready.</w:t>
      </w:r>
      <w:r>
        <w:t xml:space="preserve"> </w:t>
      </w:r>
      <w:r>
        <w:t xml:space="preserve">Numerical results below belong only to the identified campaign.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bounded PPO residual assistance around a strong LQR baseline using a causal asynchronous execution interface and an explicit predictive supervisor. The supervisor combines packet freshness/validity, nominal cost comparison and recovery persistence. Matched constants and supervised initialization distinguish learning from filtering. Simulated-service tracking and actual process timing are reported separately. Formal safety, energy advantage and real-vehicle readiness are not established.</w:t>
      </w:r>
    </w:p>
    <w:bookmarkEnd w:id="20"/>
    <w:bookmarkStart w:id="2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The command is clip(delta_LQR + w * residual, -0.5, 0.5). The worker returns a categorical proposal in {-0.08,-0.04,0,0.04,0.08}rad. Policy inputs exclude pending outputs, future completion and configured service duration. The local observer/LQR/supervisor executes independently of the worker; independence is a design requiring timing validation. The nominal predictor compares baseline and candidate commands over200ms, with a50ms candidate hold followed by LQR. A50ms observation-age cutoff rejects stale proposals; candidate weights are0.1/0.25/0.5 with0.05/tick increases and3 good control ticks for admission. Exact protocol.json defines reward, actuator, costs and settings.</w:t>
      </w:r>
    </w:p>
    <w:bookmarkEnd w:id="21"/>
    <w:bookmarkStart w:id="22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Six25k PPO pilots: three paired seeds, scratch versus causal supervised initialization; pretraining is extra. All episodes log true lateral/heading error, actuator movement, timing and rejection reason. The simple latency-gain arm is a disclosed reconstruction, not a published-controller reproduction.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Lateral RMSE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 vs LQR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Survival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finetune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fixed_authority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-10.024%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latency_gain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no_recovery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96/96</w:t>
            </w:r>
          </w:p>
        </w:tc>
      </w:tr>
    </w:tbl>
    <w:bookmarkEnd w:id="22"/>
    <w:bookmarkStart w:id="23" w:name="interpretation-and-limits"/>
    <w:p>
      <w:pPr>
        <w:pStyle w:val="Heading2"/>
      </w:pPr>
      <w:r>
        <w:t xml:space="preserve">Interpretation and limits</w:t>
      </w:r>
    </w:p>
    <w:p>
      <w:pPr>
        <w:pStyle w:val="FirstParagraph"/>
      </w:pPr>
      <w:r>
        <w:t xml:space="preserve">Development eligibility: False. All failed criteria are retained in decision.json. Known-path fresh noise is not unseen-road generalization. Whole training/noise pairs, rather than control ticks, are the independent comparison blocks. No arbitrary real-time, stability, GPU speedup or energy guarantee is inferred.</w:t>
      </w:r>
    </w:p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Primary uploaded literature includes Wabersich and Zeilinger predictive safety filtering; Tearle et al. learning-based racing safety filtering; Cano Cordoba et al. delayed-observation shielding; Kalaria et al. delay-aware robust driving/racing; and Tabrizian et al. delay-aware merging. Exact publication metadata and a broader runtime-assurance review must be verified before submission.</w:t>
      </w:r>
    </w:p>
    <w:bookmarkEnd w:id="24"/>
    <w:bookmarkStart w:id="28" w:name="development-figure"/>
    <w:p>
      <w:pPr>
        <w:pStyle w:val="Heading2"/>
      </w:pPr>
      <w:r>
        <w:t xml:space="preserve">Development figure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Development metrics; error bars are seed-block SD, not independent-tick uncertainty." title="" id="26" name="Picture"/>
            <a:graphic>
              <a:graphicData uri="http://schemas.openxmlformats.org/drawingml/2006/picture">
                <pic:pic>
                  <pic:nvPicPr>
                    <pic:cNvPr descr="development-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Development metrics; error bars are seed-block SD, not independent-tick uncertainty.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2026-10-26T16:59:05Z</dcterms:created>
  <dcterms:modified xsi:type="dcterms:W3CDTF">2026-10-26T16:59:05Z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