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878d5accf2b3ed81dc821556cf82ce2368f4b32"/>
    <w:p>
      <w:pPr>
        <w:pStyle w:val="Heading1"/>
      </w:pPr>
      <w:r>
        <w:t xml:space="preserve">LANS: matched causal-state training and single research pipeline</w:t>
      </w:r>
    </w:p>
    <w:p>
      <w:pPr>
        <w:pStyle w:val="FirstParagraph"/>
      </w:pPr>
      <w:r>
        <w:t xml:space="preserve">27 October 2026. Evidence report; empirical failures, blocked confirmation and unavailable physical validation are retained.</w:t>
      </w:r>
    </w:p>
    <w:bookmarkStart w:id="20" w:name="what-changed-and-why"/>
    <w:p>
      <w:pPr>
        <w:pStyle w:val="Heading2"/>
      </w:pPr>
      <w:r>
        <w:t xml:space="preserve">What changed and why</w:t>
      </w:r>
    </w:p>
    <w:p>
      <w:pPr>
        <w:pStyle w:val="FirstParagraph"/>
      </w:pPr>
      <w:r>
        <w:t xml:space="preserve">Previous policies were trained before the distinct-proposal recovery and packet-expiry supervisor revision. The old input interface also omitted known response/recovery history. This creates policy/controller distribution mismatch. This finite study tests a separately versioned causal state representation under matched retraining; it does not assume that more training must produce an improvement.</w:t>
      </w:r>
    </w:p>
    <w:p>
      <w:pPr>
        <w:pStyle w:val="BodyText"/>
      </w:pPr>
      <w:r>
        <w:t xml:space="preserve">The causal_recovery_history_v9 interface retains 20 channels but explicitly versions three semantics: channel 14 is the known filtered-residual memory divided by 0.08; channel 15 is the EWMA of previously completed response ages divided by 0.04; channel 19 is the clipped age since the last distinct qualifying proposal divided by 0.05 (sentinel 1 if none). Channels 16 and 17 remain zero. The current request’s future inference/service/completion time is never available to the actor. Existing ABI guards refuse silent reinterpretation of old checkpoints. This is useful causal history, not proof of a fully Markov state.</w:t>
      </w:r>
    </w:p>
    <w:p>
      <w:pPr>
        <w:pStyle w:val="BodyText"/>
      </w:pPr>
      <w:r>
        <w:t xml:space="preserve">Two predeclared arms use the same compensated physical inputs, controller, fresh paired optimizer/critic, initialization, training seeds and six 100,000-step endpoints (600,000 new steps). Legacy-history masks channels 14/15/19; causal-history observes them. Both use submitted-request actor credit with fixed-step GAE and all-transition critic learning. Actor loss/entropy/KL and advantage normalization use valid request samples; this changes actor/critic scaling and is disclosed. No training extension or endpoint search follows the results. Historical teacher/student/PPO training budgets are additional.</w:t>
      </w:r>
    </w:p>
    <w:p>
      <w:pPr>
        <w:pStyle w:val="BodyText"/>
      </w:pPr>
      <w:r>
        <w:t xml:space="preserve">The initial policy logits are preserved by zeroing the new input columns. Old PPO and supervised-student controls also retain their logits and ignore the added history. Comparisons against the frozen student therefore include state/training adaptation effects and cannot establish pure reinforcement-learning value; the paired legacy-history arm is the corresponding feature ablation. Neither the student nor every historical baseline was retrained for this new state.</w:t>
      </w:r>
    </w:p>
    <w:p>
      <w:pPr>
        <w:pStyle w:val="BodyText"/>
      </w:pPr>
      <w:r>
        <w:t xml:space="preserve">The v8 supervisor, 50ms freshness cutoff, recovery, expiry-aware continuation, actuator constraints, objective, candidate weights and margin are unchanged. Model-based input forecasting uses only completed-response history, capped at 40ms, and keeps original observation timestamps. Stale authority is zero regardless of predicted benefit. This does not compensate for delayed LQR sensing or physical actuator/communication latency. Eight new interface contracts pass; previous immutable evidence remains independently sealed.</w:t>
      </w:r>
    </w:p>
    <w:bookmarkEnd w:id="20"/>
    <w:bookmarkStart w:id="21" w:name="frozen-fresh-development-comparison"/>
    <w:p>
      <w:pPr>
        <w:pStyle w:val="Heading2"/>
      </w:pPr>
      <w:r>
        <w:t xml:space="preserve">Frozen fresh development comparison</w:t>
      </w:r>
    </w:p>
    <w:p>
      <w:pPr>
        <w:pStyle w:val="FirstParagraph"/>
      </w:pPr>
      <w:r>
        <w:t xml:space="preserve">The initial batched actor audit found one near-tie mismatch in student_comp: a batch selected +0.08 while the single-row execution selected 0.0. Float32 logits differed by roughly 1e-7; source, inputs and recorded decisions were unchanged. The original failed verification.log and batch-replay-discrepancy.json are preserved. The corrected independent audit evaluates EVERY neural decision with the actual one-observation execution shape, still requiring exact class agreement. This is an audit correction, not a tolerance relaxation or a rerun of unfavorable episodes. Random export/golden-vector agreement is finite evidence, not bitwise equivalence of all platforms or batch shapes.</w:t>
      </w:r>
    </w:p>
    <w:p>
      <w:pPr>
        <w:pStyle w:val="BodyText"/>
      </w:pPr>
      <w:r>
        <w:t xml:space="preserve">The predeclared matrix contains 1080 episodes: three actor/noise groups, 15/25m/s, two development paths, mirrored directions, nominal/tire/20ms/40ms/100ms cases and nine sources. All submitted actor outputs and causal query/history vectors, supervisor/filter/recovery decisions, physical states, actual actuator metrics and rewards were independently replayed: 1,483,380 transitions and 563,760 neural decisions. There are 192 exact 100ms/LQR trajectory matches. No reserved data were opened.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1667"/>
        <w:gridCol w:w="1667"/>
        <w:gridCol w:w="1667"/>
        <w:gridCol w:w="166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Tracking gain vs LQR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Heading change vs LQR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Steering-rate RMS change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Survival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lqr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120/120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-0.711%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120/120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-0.711%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-0.840%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120/120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+0.235%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+0.174%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120/120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student_comp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+0.263%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+0.145%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120/120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+0.116%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120/120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old_comp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+0.284%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+0.086%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120/120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legacy_history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+0.188%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120/120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causal_history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+0.230%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120/120</w:t>
            </w:r>
          </w:p>
        </w:tc>
      </w:tr>
    </w:tbl>
    <w:p>
      <w:pPr>
        <w:pStyle w:val="BodyText"/>
      </w:pPr>
      <w:r>
        <w:t xml:space="preserve">Student-relative tracking gains: legacy-history -0.076%; causal-history -0.034%. Selected arm:</w:t>
      </w:r>
      <w:r>
        <w:t xml:space="preserve"> </w:t>
      </w:r>
      <w:r>
        <w:rPr>
          <w:b/>
          <w:bCs/>
        </w:rPr>
        <w:t xml:space="preserve">None</w:t>
      </w:r>
      <w:r>
        <w:t xml:space="preserve">. The unchanged criteria require at least 1% aggregate gain over LQR, both fixed corrections and the compensated student; positive student gain in every paired group; no survival loss; nominal tracking no more than 2% worse than LQR; heading and steering-rate RMS no more than 5% higher. Aggregate metrics do not imply every speed/path cell improves.</w:t>
      </w:r>
    </w:p>
    <w:p>
      <w:pPr>
        <w:pStyle w:val="BodyText"/>
      </w:pPr>
      <w:r>
        <w:rPr>
          <w:b/>
          <w:bCs/>
        </w:rPr>
        <w:t xml:space="preserve">legacy_history</w:t>
      </w:r>
      <w:r>
        <w:t xml:space="preserve">: eligible=False; paired student gains: +0.1364%, -0.2176%, -0.1464%. Failed checks: lacks1% gain vs lqr; lacks1% gain vs student_comp; lacks1% gain vs negative; lacks1% gain vs positive; pair1 no student gain; pair2 no student gain.</w:t>
      </w:r>
    </w:p>
    <w:p>
      <w:pPr>
        <w:pStyle w:val="BodyText"/>
      </w:pPr>
      <w:r>
        <w:rPr>
          <w:b/>
          <w:bCs/>
        </w:rPr>
        <w:t xml:space="preserve">causal_history</w:t>
      </w:r>
      <w:r>
        <w:t xml:space="preserve">: eligible=False; paired student gains: +0.1527%, -0.2090%, -0.0451%. Failed checks: lacks1% gain vs lqr; lacks1% gain vs student_comp; lacks1% gain vs negative; lacks1% gain vs positive; pair1 no student gain; pair2 no student gain.</w:t>
      </w:r>
    </w:p>
    <w:bookmarkEnd w:id="21"/>
    <w:bookmarkStart w:id="22" w:name="original-deadline-timing"/>
    <w:p>
      <w:pPr>
        <w:pStyle w:val="Heading2"/>
      </w:pPr>
      <w:r>
        <w:t xml:space="preserve">Original-deadline timing</w:t>
      </w:r>
    </w:p>
    <w:p>
      <w:pPr>
        <w:pStyle w:val="FirstParagraph"/>
      </w:pPr>
      <w:r>
        <w:t xml:space="preserve">The corresponding selected actor is tested when one exists; otherwise the predeclared legacy-history arm is a platform diagnostic, not a research winner. This campaign uses legacy_history, three actors, five actual worker cases and 5 seconds per case, after untimed warmup. It retains original 10ms deadlines, pinned local/helper CPUs, lower helper priority and the predeclared 1ms optional-work guard. There is one recorded campaign and no retries to erase misses.</w:t>
      </w:r>
    </w:p>
    <w:p>
      <w:pPr>
        <w:pStyle w:val="BodyText"/>
      </w:pPr>
      <w:r>
        <w:t xml:space="preserve">Controller result:</w:t>
      </w:r>
      <w:r>
        <w:t xml:space="preserve"> </w:t>
      </w:r>
      <w:r>
        <w:rPr>
          <w:b/>
          <w:bCs/>
        </w:rPr>
        <w:t xml:space="preserve">0/7500 original deadlines missed</w:t>
      </w:r>
      <w:r>
        <w:t xml:space="preserve">, functional checks=True, observed strict timing=True. Full replay covers 7500 ticks and 4014 issued query vectors, including past timing/recovery state. Admission decisions skipped at the budget limit: 1. Native C heartbeat: 0/3000 misses. Native heartbeat success does not validate controller timing or Webots.</w:t>
      </w:r>
    </w:p>
    <w:p>
      <w:pPr>
        <w:pStyle w:val="BodyText"/>
      </w:pPr>
      <w:r>
        <w:t xml:space="preserve">admission-analysis.json describes authority and rejection reasons without changing parameters. In the causal-history nominal episodes, authority is nonzero on 5.051% of ticks, mean weight is 0.00689, and 29486/32964 ticks reject on predicted cost. At 40ms only 217 ticks are active (0.658%). Limited admitted authority bounds how much the policy can influence tracking; these descriptive results do not prove that relaxing safety/freshness checks would be appropriate. Added causal history did not establish the required performance headroom.</w:t>
      </w:r>
    </w:p>
    <w:p>
      <w:pPr>
        <w:pStyle w:val="BodyText"/>
      </w:pPr>
      <w:r>
        <w:t xml:space="preserve">deadline-attribution.json retains every miss, including release lateness, elapsed processing, thread CPU, sensing/LQR and feature work. The components may overlap and are not a proof of a unique root cause. Optional work cannot recover a deadline already lost to scheduling or mandatory processing. A finite zero-miss observation, if achieved, is not a hard real-time/WCET certificate. The fixed-step plant advances during software ticks; survival does not establish continuous-time physical safety during a host pause. Cross-version timing campaigns ran under different conditions and cannot prove a causal speedup.</w:t>
      </w:r>
    </w:p>
    <w:bookmarkEnd w:id="22"/>
    <w:bookmarkStart w:id="23" w:name="laptop-package-and-external-evidence"/>
    <w:p>
      <w:pPr>
        <w:pStyle w:val="Heading2"/>
      </w:pPr>
      <w:r>
        <w:t xml:space="preserve">Laptop package and external evidence</w:t>
      </w:r>
    </w:p>
    <w:p>
      <w:pPr>
        <w:pStyle w:val="FirstParagraph"/>
      </w:pPr>
      <w:r>
        <w:t xml:space="preserve">The new Python 3.10 ZIP contains all three frozen actors, explicit ABI/hash checks, Windows/macOS launchers, the full raw replay and no Torch dependency. The clean minimal-environment packaging smoke completed 750 ticks, with 0 misses and fallback=True. Its half-second cases are packaging diagnostics, not strict qualification or actual laptop results. Nominal learned assistance was not observed in every seed during this short smoke; that is reported separately from fallback and timing.</w:t>
      </w:r>
    </w:p>
    <w:p>
      <w:pPr>
        <w:pStyle w:val="BodyText"/>
      </w:pPr>
      <w:r>
        <w:t xml:space="preserve">On the actual laptop, extract LANS_Causal_Python310_Kit.zip, then run RUN_WINDOWS.cmd or</w:t>
      </w:r>
      <w:r>
        <w:t xml:space="preserve"> </w:t>
      </w:r>
      <w:r>
        <w:rPr>
          <w:rStyle w:val="VerbatimChar"/>
        </w:rPr>
        <w:t xml:space="preserve">bash RUN_MAC.command</w:t>
      </w:r>
      <w:r>
        <w:t xml:space="preserve">. This performs five 13-second cases per actor (195 measured seconds plus warmup), verifies the bundle before execution and produces laptop-results/Results.zip. Preserve failures. Import with the same pipeline command plus</w:t>
      </w:r>
      <w:r>
        <w:t xml:space="preserve"> </w:t>
      </w:r>
      <w:r>
        <w:rPr>
          <w:rStyle w:val="VerbatimChar"/>
        </w:rPr>
        <w:t xml:space="preserve">--laptop-results /path/to/Results.zip</w:t>
      </w:r>
      <w:r>
        <w:t xml:space="preserve">. The importer accepts data files only, validates the matching source/model bundle and independently replays 19,500 expected ticks. Participant data are not cryptographic hardware attestation.</w:t>
      </w:r>
    </w:p>
    <w:bookmarkEnd w:id="23"/>
    <w:bookmarkStart w:id="24" w:name="one-command-and-honest-stage-status"/>
    <w:p>
      <w:pPr>
        <w:pStyle w:val="Heading2"/>
      </w:pPr>
      <w:r>
        <w:t xml:space="preserve">One command and honest stage status</w:t>
      </w:r>
    </w:p>
    <w:p>
      <w:pPr>
        <w:pStyle w:val="FirstParagraph"/>
      </w:pPr>
      <w:r>
        <w:t xml:space="preserve">From the repository root using the Python3.10 research environment:</w:t>
      </w:r>
    </w:p>
    <w:p>
      <w:pPr>
        <w:pStyle w:val="SourceCode"/>
      </w:pP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tools/controller_review/run_single_pipeline.py </w:t>
      </w:r>
      <w:r>
        <w:rPr>
          <w:rStyle w:val="AttributeTok"/>
        </w:rPr>
        <w:t xml:space="preserve">--publish</w:t>
      </w:r>
    </w:p>
    <w:p>
      <w:pPr>
        <w:pStyle w:val="FirstParagraph"/>
      </w:pPr>
      <w:r>
        <w:t xml:space="preserve">The command verifies old evidence; resumes the fixed six-training/1,080-episode protocol; executes timing once; replays raw data; builds and clean-tests the target kit; imports target data when supplied; seals evidence; creates editable Word/PDF reports; and optionally commits/pushes this branch. Completed stage outputs are retained. Partial runs are not silently overwritten. Exit 2 means at least one scientific/external requirement remains unmet, while exit 1 is an execution error. A successful file-generation stage never overrides an empirical failure.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pipeline_contracts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prior_evidence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matched_development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admission_analysis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scientific_selection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failed_requirement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timing_replay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strict_original_10ms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portable_kit_audit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packaging_smoke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actual_laptop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awaiting_external_run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reserved_unseen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native_webots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robust_vehicle_baseline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needs_research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primary_references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awaiting_primary_source_verification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physical_validation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not_performed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draft_only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evidence_seal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(this document)</w:t>
            </w:r>
          </w:p>
        </w:tc>
      </w:tr>
    </w:tbl>
    <w:p>
      <w:pPr>
        <w:pStyle w:val="BodyText"/>
      </w:pPr>
      <w:r>
        <w:t xml:space="preserve">Reserved/unseen-path evaluation and current-ABI native Webots confirmation remain gated on scientific selection plus corresponding-controller timing. If those gates pass later, confirmation still needs its declared protocol and current-controller integration; this orchestrator does not call the old student adapter and label it a new confirmation.</w:t>
      </w:r>
    </w:p>
    <w:p>
      <w:pPr>
        <w:pStyle w:val="BodyText"/>
      </w:pPr>
      <w:r>
        <w:t xml:space="preserve">A full robust vehicle safety-filter reproduction still requires justified vehicle uncertainty bounds, terminal safe set/backup, primary algorithm details and a matched evaluation. The existing verified scalar specialization is not that reproduction. Thirty-two references have structural checks and five uploaded primary versions are verified; the remaining primary-source/novelty audit is open. These research tasks cannot be passed by generating a stub.</w:t>
      </w:r>
    </w:p>
    <w:p>
      <w:pPr>
        <w:pStyle w:val="BodyText"/>
      </w:pPr>
      <w:r>
        <w:t xml:space="preserve">No physical sensor, communication or actuator evidence is available. Vehicle-readiness, global convergence, universal neuro-symbolic novelty, 49-fold speedup and measured energy superiority are excluded. A separately passing one-second worker recovery test from v8 does not cancel any current timing miss or prove improved tracking. Paper1 remains the residual LQR/PPO/supervisor architecture; V2V is excluded.</w:t>
      </w:r>
    </w:p>
    <w:p>
      <w:pPr>
        <w:pStyle w:val="BodyText"/>
      </w:pPr>
      <w:r>
        <w:t xml:space="preserve">These are reviewable evidence reports, not a submission-ready claim that unresolved requirements passed. Failures must motivate a justified new protocol or narrower claims, never relaxed thresholds or repeatedly reopening development outcomes until a score crosses a line.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2026-10-27T13:22:43Z</dcterms:created>
  <dcterms:modified xsi:type="dcterms:W3CDTF">2026-10-27T13:22:43Z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