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9246c95a2535a99fb26d8d93f8468c599c53a69"/>
    <w:p>
      <w:pPr>
        <w:pStyle w:val="Heading1"/>
      </w:pPr>
      <w:r>
        <w:t xml:space="preserve">LANS: actual PPO training after the audit fixes</w:t>
      </w:r>
    </w:p>
    <w:p>
      <w:pPr>
        <w:pStyle w:val="FirstParagraph"/>
      </w:pPr>
      <w:r>
        <w:t xml:space="preserve">27 October2026. The user explicitly requested training after the failed causal-planner headroom diagnostic. This new finite protocol proceeds despite that heuristic failure; historical outcomes and criteria remain unchanged. The20% target is measured, not guaranteed.</w:t>
      </w:r>
    </w:p>
    <w:bookmarkStart w:id="20" w:name="what-was-actually-trained"/>
    <w:p>
      <w:pPr>
        <w:pStyle w:val="Heading2"/>
      </w:pPr>
      <w:r>
        <w:t xml:space="preserve">What was actually trained</w:t>
      </w:r>
    </w:p>
    <w:p>
      <w:pPr>
        <w:pStyle w:val="FirstParagraph"/>
      </w:pPr>
      <w:r>
        <w:t xml:space="preserve">Three new RNG seeds continue the corresponding previous causal-history PPO checkpoints for exactly100,000 additional environment steps each:300,000 NEW steps total. Actor, critic, Adam optimizer and reward-normalization statistics are retained; source preservation is contract-tested and initial checkpoints/normalizers are saved. The rollout buffer/environment/RNG are fresh. Original supervised and previous PPO training budgets are additional. Only the three final endpoints are compared: no best-checkpoint cherry-picking, per-seed mixing or post-result extensions.</w:t>
      </w:r>
    </w:p>
    <w:p>
      <w:pPr>
        <w:pStyle w:val="BodyText"/>
      </w:pPr>
      <w:r>
        <w:t xml:space="preserve">Training uses the corrected v10 terminal next-observation interface, strict packet/identity checks and nominal RK4 predictor with average actual actuator-rate cost. Source/model input dependencies are pinned to the prior immutable evidence. The causal20-channel input ABI, physical reward, submitted-request actor credit, fixed-step GAE, all-transition critic,50ms stale cutoff, residual bound0.08rad, filter0.3s, cap0.25, recovery/ramp/margin and actuator limits remain unchanged. No future response/service information is provided to the actor.</w:t>
      </w:r>
    </w:p>
    <w:p>
      <w:pPr>
        <w:pStyle w:val="BodyText"/>
      </w:pPr>
      <w:r>
        <w:t xml:space="preserve">The training distribution covers15/20/25m/s, two known paths, exactmirrors and nominal/tire/20/40/100ms conditions. Its noise namespace is new and separate from the fresh development namespace. Severe-delay transitions can have zero policy authority; they are retained rather than removed to inflate tracking gains. No reserved path is opened.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 RNG seed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Additional steps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Submitted requests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Active assistance ticks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Wall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63.7</w:t>
            </w:r>
          </w:p>
        </w:tc>
      </w:tr>
    </w:tbl>
    <w:bookmarkEnd w:id="20"/>
    <w:bookmarkStart w:id="21" w:name="fresh-matched-evaluation"/>
    <w:p>
      <w:pPr>
        <w:pStyle w:val="Heading2"/>
      </w:pPr>
      <w:r>
        <w:t xml:space="preserve">Fresh matched evaluation</w:t>
      </w:r>
    </w:p>
    <w:p>
      <w:pPr>
        <w:pStyle w:val="FirstParagraph"/>
      </w:pPr>
      <w:r>
        <w:t xml:space="preserve">The predeclared full development grid has 840 episodes:15/25m/s x2knownpaths x2mirrors x5scenarios x7sources x3actor/noise groups. Every source uses the same corrected supervisor, sensing, actuator limits and matched exogenous conditions. Student and oldPPO weights remain frozen; the newPPO is the continued endpoint. The causal nominal planner and both fixed corrections are nonlearned controls. A full robust published vehicle baseline/MPC is not included, so superiority over all published controllers cannot be claimed.</w:t>
      </w:r>
    </w:p>
    <w:p>
      <w:pPr>
        <w:pStyle w:val="BodyText"/>
      </w:pPr>
      <w:r>
        <w:t xml:space="preserve">Independent single-observation inference and full input/history/compensation/packet/recovery/physical/reward replay verify 1,153,740 transitions and 281,880 neural decisions. Planner proposals are independently regenerated from available information; 144 severe-delay/LQR trajectory pairs match exactly. All input source/model hashes and exports are checked.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Tracking gain vs LQR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Heading change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Steering-rate RMS change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Survival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lqr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120/120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-0.591%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-1.247%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120/120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-0.591%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-1.247%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120/120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student_rk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+0.429%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+0.143%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120/120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oldppo_rk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+0.360%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+0.036%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120/120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planner_rk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+1.025%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-1.167%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-2.182%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120/120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newppo_rk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+0.098%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120/120</w:t>
            </w:r>
          </w:p>
        </w:tc>
      </w:tr>
    </w:tbl>
    <w:bookmarkEnd w:id="21"/>
    <w:bookmarkStart w:id="22" w:name="new-ppo-contribution-and20-target"/>
    <w:p>
      <w:pPr>
        <w:pStyle w:val="Heading2"/>
      </w:pPr>
      <w:r>
        <w:t xml:space="preserve">New PPO contribution and20% target</w:t>
      </w:r>
    </w:p>
    <w:p>
      <w:pPr>
        <w:numPr>
          <w:ilvl w:val="0"/>
          <w:numId w:val="1001"/>
        </w:numPr>
      </w:pPr>
      <w:r>
        <w:t xml:space="preserve">NewPPO tracking gain vs lqr:</w:t>
      </w:r>
      <w:r>
        <w:t xml:space="preserve"> </w:t>
      </w:r>
      <w:r>
        <w:rPr>
          <w:b/>
          <w:bCs/>
        </w:rPr>
        <w:t xml:space="preserve">+0.0976%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NewPPO tracking gain vs negative:</w:t>
      </w:r>
      <w:r>
        <w:t xml:space="preserve"> </w:t>
      </w:r>
      <w:r>
        <w:rPr>
          <w:b/>
          <w:bCs/>
        </w:rPr>
        <w:t xml:space="preserve">+0.6846%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NewPPO tracking gain vs positive:</w:t>
      </w:r>
      <w:r>
        <w:t xml:space="preserve"> </w:t>
      </w:r>
      <w:r>
        <w:rPr>
          <w:b/>
          <w:bCs/>
        </w:rPr>
        <w:t xml:space="preserve">+0.6846%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NewPPO tracking gain vs student_rk:</w:t>
      </w:r>
      <w:r>
        <w:t xml:space="preserve"> </w:t>
      </w:r>
      <w:r>
        <w:rPr>
          <w:b/>
          <w:bCs/>
        </w:rPr>
        <w:t xml:space="preserve">-0.3328%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NewPPO tracking gain vs oldppo_rk:</w:t>
      </w:r>
      <w:r>
        <w:t xml:space="preserve"> </w:t>
      </w:r>
      <w:r>
        <w:rPr>
          <w:b/>
          <w:bCs/>
        </w:rPr>
        <w:t xml:space="preserve">-0.2630%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NewPPO tracking gain vs planner_rk:</w:t>
      </w:r>
      <w:r>
        <w:t xml:space="preserve"> </w:t>
      </w:r>
      <w:r>
        <w:rPr>
          <w:b/>
          <w:bCs/>
        </w:rPr>
        <w:t xml:space="preserve">-0.9373%</w:t>
      </w:r>
      <w:r>
        <w:t xml:space="preserve">.</w:t>
      </w:r>
    </w:p>
    <w:p>
      <w:pPr>
        <w:pStyle w:val="FirstParagraph"/>
      </w:pPr>
      <w:r>
        <w:t xml:space="preserve">20% development screen:</w:t>
      </w:r>
      <w:r>
        <w:t xml:space="preserve"> </w:t>
      </w:r>
      <w:r>
        <w:rPr>
          <w:b/>
          <w:bCs/>
        </w:rPr>
        <w:t xml:space="preserve">False</w:t>
      </w:r>
      <w:r>
        <w:t xml:space="preserve">. Failed checks: less_than20pct_vs_lqr; nonpositive_pair2_vs_lqr; less_than20pct_vs_negative; less_than20pct_vs_positive; less_than20pct_vs_student_rk; nonpositive_pair0_vs_student_rk; nonpositive_pair1_vs_student_rk; nonpositive_pair2_vs_student_rk; less_than20pct_vs_oldppo_rk; nonpositive_pair0_vs_oldppo_rk; nonpositive_pair2_vs_oldppo_rk; less_than20pct_vs_planner_rk; nonpositive_pair0_vs_planner_rk; nonpositive_pair1_vs_planner_rk; nonpositive_pair2_vs_planner_rk.</w:t>
      </w:r>
    </w:p>
    <w:p>
      <w:pPr>
        <w:pStyle w:val="BodyText"/>
      </w:pPr>
      <w:r>
        <w:t xml:space="preserve">The screen requires at least20% lower mean penalized episode tracking RMSE than EVERY listed comparator, positive paired gain in all three groups, no survival loss, nominal tracking no more than2% worse than LQR and overall heading/actuator-rate RMS no more than5% higher. Exact ratio comparisons avoid floating-point misclassification at the20% boundary. Aggregate metrics do not guarantee every individual speed/path cell improves.</w:t>
      </w:r>
    </w:p>
    <w:p>
      <w:pPr>
        <w:pStyle w:val="BodyText"/>
      </w:pPr>
      <w:r>
        <w:t xml:space="preserve">The matched old/new PPO comparison measures the result of additional training under the corrected environment. It does not isolate the individual causal effects of terminal-observation repair, predictor integration, continued optimizer/reward statistics or RNG changes. Prior0.379%/1.488% diagnostic values came from a narrower grid with other noise; do not compare those aggregates as if only training changed.</w:t>
      </w:r>
    </w:p>
    <w:p>
      <w:pPr>
        <w:pStyle w:val="BodyText"/>
      </w:pPr>
      <w:r>
        <w:t xml:space="preserve">Limited authority, sparse accepted proposals and a strong LQR/student/planner remain structural constraints. A failed target is not converted into a pass by deleting delayed conditions, weakening baselines, extending training until a score crosses a line or choosing different best seeds. No universal impossibility claim follows from this finite study.</w:t>
      </w:r>
    </w:p>
    <w:bookmarkEnd w:id="22"/>
    <w:bookmarkStart w:id="23" w:name="timing-confirmation-and-scope"/>
    <w:p>
      <w:pPr>
        <w:pStyle w:val="Heading2"/>
      </w:pPr>
      <w:r>
        <w:t xml:space="preserve">Timing, confirmation and scope</w:t>
      </w:r>
    </w:p>
    <w:p>
      <w:pPr>
        <w:pStyle w:val="FirstParagraph"/>
      </w:pPr>
      <w:r>
        <w:t xml:space="preserve">Winner-specific original-deadline timing is conditional on the20% selection screen. If the screen fails, no current-model timing success is claimed. Previous v9 zero-miss timing and the v10 one-miss smoke are historical experiments, not certification of these new actors. All reserved/native Webots confirmation, actual laptop execution and physical sensor/communication/actuator validation remain separate evidence requirements. No deployment, global stability, universal novelty, energy or49-fold speedup claim is made.</w:t>
      </w:r>
    </w:p>
    <w:bookmarkEnd w:id="23"/>
    <w:bookmarkStart w:id="24" w:name="resume"/>
    <w:p>
      <w:pPr>
        <w:pStyle w:val="Heading2"/>
      </w:pPr>
      <w:r>
        <w:t xml:space="preserve">Resume</w:t>
      </w:r>
    </w:p>
    <w:p>
      <w:pPr>
        <w:pStyle w:val="SourceCode"/>
      </w:pP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tools/reviewer_v11/run11.py </w:t>
      </w:r>
      <w:r>
        <w:rPr>
          <w:rStyle w:val="AttributeTok"/>
        </w:rPr>
        <w:t xml:space="preserve">--publish</w:t>
      </w:r>
    </w:p>
    <w:p>
      <w:pPr>
        <w:pStyle w:val="FirstParagraph"/>
      </w:pPr>
      <w:r>
        <w:t xml:space="preserve">The command checks provenance/contracts, continues the three finite runs, exports actors, executes the fixed matched matrix, independently replays raw data, seals evidence and builds Word/PDF reports. Completed and partial outputs are preserved. Exit2 means the20% empirical requirement remains unmet. No further training starts automatically.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2026-10-27T15:43:03Z</dcterms:created>
  <dcterms:modified xsi:type="dcterms:W3CDTF">2026-10-27T15:43:03Z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