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b5449ac0729320f0b8bc129d62485a3b65bf9a3"/>
    <w:p>
      <w:pPr>
        <w:pStyle w:val="Heading1"/>
      </w:pPr>
      <w:r>
        <w:t xml:space="preserve">Explicit neural-response latency compensation in LANS</w:t>
      </w:r>
    </w:p>
    <w:p>
      <w:pPr>
        <w:pStyle w:val="FirstParagraph"/>
      </w:pPr>
      <w:r>
        <w:t xml:space="preserve">27 October 2026 (Asia/Shanghai). Experimental addition; previous frozen studies remain unchanged.</w:t>
      </w:r>
    </w:p>
    <w:bookmarkStart w:id="20" w:name="implemented-mechanism"/>
    <w:p>
      <w:pPr>
        <w:pStyle w:val="Heading2"/>
      </w:pPr>
      <w:r>
        <w:t xml:space="preserve">Implemented mechanism</w:t>
      </w:r>
    </w:p>
    <w:p>
      <w:pPr>
        <w:pStyle w:val="FirstParagraph"/>
      </w:pPr>
      <w:r>
        <w:t xml:space="preserve">The supervisor now owns an explicit model-based input compensator. At an available PPO query, it forecasts the latest estimated vehicle/actuator state over the anticipated observation-to-response delay and gives the resulting physical features to PPO. On receipt, the ordinary supervisor still evaluates that residual against the latest current-state LQR baseline. The existing default profile is unchanged; this feature is selected explicitly with</w:t>
      </w:r>
      <w:r>
        <w:t xml:space="preserve"> </w:t>
      </w:r>
      <w:r>
        <w:rPr>
          <w:rStyle w:val="VerbatimChar"/>
        </w:rPr>
        <w:t xml:space="preserve">delay_compensated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d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0.75</m:t>
          </m:r>
          <m:sSub>
            <m:e>
              <m:acc>
                <m:accPr>
                  <m:chr m:val="̂"/>
                </m:accPr>
                <m:e>
                  <m:r>
                    <m:t>d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0.25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t>0.04</m:t>
              </m:r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d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0.01</m:t>
          </m:r>
          <m:r>
            <m:t> </m:t>
          </m:r>
          <m:r>
            <m:rPr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estimate updates only once for each strictly increasing completed-response sequence. Held packets do not age the estimate repeatedly. It does not read the current configured service delay, pending completion or a future observation. The measured response age includes inference/dispatch/IPC/polling effects; it is distinct from neural inference duration alone.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ξ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ξ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,</m:t>
              </m:r>
              <m:sSub>
                <m:e>
                  <m:r>
                    <m:t>δ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,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Q</m:t>
                  </m:r>
                  <m:r>
                    <m:rPr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  <m:scr m:val="script"/>
                    </m:rPr>
                    <m:t>R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d</m:t>
                  </m:r>
                </m:e>
              </m:acc>
            </m:e>
          </m:d>
          <m:r>
            <m:rPr>
              <m:sty m:val="p"/>
            </m:rPr>
            <m:t>,</m:t>
          </m:r>
          <m:r>
            <m:t>  </m:t>
          </m:r>
          <m:r>
            <m:t>Δ</m:t>
          </m:r>
          <m:r>
            <m:t>δ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o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forecast uses the nominal bicycle model, present measured speed/gain and reference-curvature preview, with LQR continuation. Euler steps are at most 10 ms, prediction is capped 40 ms, actuator time constant is 50 ms, rate limit 0.35 rad/s and steering-angle limit 0.5 rad. The route preview shifts by speed times prediction horizon. Known policy history is retained; channels 15/16/17/19 remain zero. If the forecast leaves the declared lateral/heading envelope, the actual raw query is used and that reason is logged.</w:t>
      </w:r>
    </w:p>
    <w:p>
      <w:pPr>
        <w:pStyle w:val="BodyText"/>
      </w:pPr>
      <w:r>
        <w:t xml:space="preserve">The model interface is separately declared as</w:t>
      </w:r>
      <w:r>
        <w:t xml:space="preserve"> </w:t>
      </w:r>
      <w:r>
        <w:rPr>
          <w:rStyle w:val="VerbatimChar"/>
        </w:rPr>
        <w:t xml:space="preserve">latency_compensated_query_v7</w:t>
      </w:r>
      <w:r>
        <w:t xml:space="preserve">. The diagnostic copies frozen v5 NumPy actors without changing their weights. Those weights were not retrained on predicted-state inputs, so distribution shift remains an explicit limitation. Runtime rejects mixing legacy/history and compensated interfaces.</w:t>
      </w:r>
    </w:p>
    <w:p>
      <w:pPr>
        <w:pStyle w:val="BodyText"/>
      </w:pPr>
      <w:r>
        <w:t xml:space="preserve">This changes the policy input, unlike freshness-only rejection. Original observation timestamps are never refreshed, and the 50 ms stale cutoff is unchanged. Compensation cannot rescue arbitrarily old packets, reduce physical inference duration, cancel sensor/transport delay, or establish 1,000 ms delayed LQR-feedback tolerance. The existing latest-state cost gate, filter, cap and gradual recovery are unchanged; the earlier proposed multi-weight argmin/first-step-only rollout is not silently substituted.</w:t>
      </w:r>
    </w:p>
    <w:bookmarkEnd w:id="20"/>
    <w:bookmarkStart w:id="21" w:name="controlled-development-evidence"/>
    <w:p>
      <w:pPr>
        <w:pStyle w:val="Heading2"/>
      </w:pPr>
      <w:r>
        <w:t xml:space="preserve">Controlled development evidence</w:t>
      </w:r>
    </w:p>
    <w:p>
      <w:pPr>
        <w:pStyle w:val="FirstParagraph"/>
      </w:pPr>
      <w:r>
        <w:t xml:space="preserve">Eight compensation contracts and seven legacy history/packet checks pass. The fixed diagnostic contains</w:t>
      </w:r>
      <w:r>
        <w:t xml:space="preserve"> </w:t>
      </w:r>
      <w:r>
        <w:rPr>
          <w:b/>
          <w:bCs/>
        </w:rPr>
        <w:t xml:space="preserve">72 episodes</w:t>
      </w:r>
      <w:r>
        <w:t xml:space="preserve">,</w:t>
      </w:r>
      <w:r>
        <w:t xml:space="preserve"> </w:t>
      </w:r>
      <w:r>
        <w:rPr>
          <w:b/>
          <w:bCs/>
        </w:rPr>
        <w:t xml:space="preserve">93,600 replayed transitions</w:t>
      </w:r>
      <w:r>
        <w:t xml:space="preserve">,</w:t>
      </w:r>
      <w:r>
        <w:t xml:space="preserve"> </w:t>
      </w:r>
      <w:r>
        <w:rPr>
          <w:b/>
          <w:bCs/>
        </w:rPr>
        <w:t xml:space="preserve">28,860 submitted actor decisions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72/72 survivors</w:t>
      </w:r>
      <w:r>
        <w:t xml:space="preserve">. It compares LQR, raw-query PPO and compensated-query PPO at 20 m/s on one known mirrored path, using three actors/noise groups and 10/20/40/100 ms logical service. No training, tuning, reserved evaluation or promotion occurred.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Logical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Raw PPO lateral RMSE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Compensated RMSE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Tracking gain vs 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Heading change vs 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 RMS change vs raw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+0.252%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+0.471%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+0.683%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+0.000%</w:t>
            </w:r>
          </w:p>
        </w:tc>
      </w:tr>
    </w:tbl>
    <w:p>
      <w:pPr>
        <w:pStyle w:val="BodyText"/>
      </w:pPr>
      <w:r>
        <w:t xml:space="preserve">All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100 ms-delay raw/compensated-versus-LQR trajectory pairs are exactly equal: compensation does not bypass freshness rejection. Positive table values indicate lower lateral RMSE; negative values indicate harm. This narrow comparison does not establish the earlier full student/fixed-baseline selection criteria or general superiority.</w:t>
      </w:r>
    </w:p>
    <w:p>
      <w:pPr>
        <w:pStyle w:val="BodyText"/>
      </w:pPr>
      <w:r>
        <w:t xml:space="preserve">At 40 ms logical service neither neural variant had any nonzero learned authority. A 40 ms-old proposal expires at 50 ms before the unchanged three-good-control-tick recovery can finish; intervening stale decisions reset recovery. Therefore zero difference at 40 ms is baseline-only operation, not evidence of successful 40 ms assisted compensation. The recovery/freshness interaction is preserved and reported rather than bypassed to create a gain.</w:t>
      </w:r>
    </w:p>
    <w:p>
      <w:pPr>
        <w:pStyle w:val="BodyText"/>
      </w:pPr>
      <w:r>
        <w:t xml:space="preserve">At 13632 eligible first deliveries on compensated trajectories, raw-versus-current lateral-input RMSE was 0.002841 m and forecast-versus-current RMSE was 0.002219 m. Mean absolute forecast-horizon error was 0.070 ms. These are post-hoc noisy-estimate calibration measurements, not true-state error bounds or a causal proof of tracking improvement.</w:t>
      </w:r>
    </w:p>
    <w:bookmarkEnd w:id="21"/>
    <w:bookmarkStart w:id="22" w:name="real-worker-integration"/>
    <w:p>
      <w:pPr>
        <w:pStyle w:val="Heading2"/>
      </w:pPr>
      <w:r>
        <w:t xml:space="preserve">Real-worker integration</w:t>
      </w:r>
    </w:p>
    <w:p>
      <w:pPr>
        <w:pStyle w:val="FirstParagraph"/>
      </w:pPr>
      <w:r>
        <w:t xml:space="preserve">Three actors ran all five actual worker cases for 1 second each:</w:t>
      </w:r>
      <w:r>
        <w:t xml:space="preserve"> </w:t>
      </w:r>
      <w:r>
        <w:rPr>
          <w:b/>
          <w:bCs/>
        </w:rPr>
        <w:t xml:space="preserve">1500 ticks</w:t>
      </w:r>
      <w:r>
        <w:t xml:space="preserve">,</w:t>
      </w:r>
      <w:r>
        <w:t xml:space="preserve"> </w:t>
      </w:r>
      <w:r>
        <w:rPr>
          <w:b/>
          <w:bCs/>
        </w:rPr>
        <w:t xml:space="preserve">727 issued forecast queries</w:t>
      </w:r>
      <w:r>
        <w:t xml:space="preserve">, and</w:t>
      </w:r>
      <w:r>
        <w:t xml:space="preserve"> </w:t>
      </w:r>
      <w:r>
        <w:rPr>
          <w:b/>
          <w:bCs/>
        </w:rPr>
        <w:t xml:space="preserve">712 observable completed-response updates</w:t>
      </w:r>
      <w:r>
        <w:t xml:space="preserve"> </w:t>
      </w:r>
      <w:r>
        <w:t xml:space="preserve">were replayed. Original deadlines recorded</w:t>
      </w:r>
      <w:r>
        <w:t xml:space="preserve"> </w:t>
      </w:r>
      <w:r>
        <w:rPr>
          <w:b/>
          <w:bCs/>
        </w:rPr>
        <w:t xml:space="preserve">164 misses</w:t>
      </w:r>
      <w:r>
        <w:t xml:space="preserve">. Input forecasts, known history, source/model hashes, actor outputs, fusion/gate decisions and original stale timestamps were checked. Actual post-inference waits are separate from offline total logical service; their delay distributions are not assumed equal.</w:t>
      </w:r>
    </w:p>
    <w:p>
      <w:pPr>
        <w:pStyle w:val="BodyText"/>
      </w:pPr>
      <w:r>
        <w:t xml:space="preserve">This is a short software integration test, not 100 Hz qualification, native Webots confirmation, actual laptop execution or physical sensor/actuator validation. Previous strict real-time failures remain unresolved. A model forecast over estimated delay is approximate compensation; it cannot guarantee cancellation under model mismatch, unexpected stalls, measurement noise or a busy local control process.</w:t>
      </w:r>
    </w:p>
    <w:p>
      <w:pPr>
        <w:pStyle w:val="BodyText"/>
      </w:pPr>
      <w:r>
        <w:t xml:space="preserve">The exported Torch-free Python 3.10 kit also passed an independent clean-environment packaging replay: 250 ticks, 34 deadline misses, functional fallback True. This separate short smoke is not pooled with the three-actor integration campaign or presented as actual Windows/macOS execution.</w:t>
      </w:r>
    </w:p>
    <w:bookmarkEnd w:id="22"/>
    <w:bookmarkStart w:id="23" w:name="run-and-integration"/>
    <w:p>
      <w:pPr>
        <w:pStyle w:val="Heading2"/>
      </w:pPr>
      <w:r>
        <w:t xml:space="preserve">Run and integration</w:t>
      </w:r>
    </w:p>
    <w:p>
      <w:pPr>
        <w:pStyle w:val="FirstParagraph"/>
      </w:pPr>
      <w:r>
        <w:rPr>
          <w:rStyle w:val="VerbatimChar"/>
        </w:rPr>
        <w:t xml:space="preserve">python tools/reviewer_v7/run7.py --publish</w:t>
      </w:r>
      <w:r>
        <w:t xml:space="preserve"> </w:t>
      </w:r>
      <w:r>
        <w:t xml:space="preserve">resumes the fixed verified diagnostic without retuning or overwriting partial outcomes. Use the generated actor directory with</w:t>
      </w:r>
      <w:r>
        <w:t xml:space="preserve"> </w:t>
      </w:r>
      <w:r>
        <w:rPr>
          <w:rStyle w:val="VerbatimChar"/>
        </w:rPr>
        <w:t xml:space="preserve">python tools/controller_review/laptop_full_controller.py --profile delay_compensated --models docs/research/reviewer-delay-compensation-v7/actor --output laptop-results-compensated</w:t>
      </w:r>
      <w:r>
        <w:t xml:space="preserve"> </w:t>
      </w:r>
      <w:r>
        <w:t xml:space="preserve">for a separate diagnostic. Existing output folders must not be overwritten.</w:t>
      </w:r>
    </w:p>
    <w:p>
      <w:pPr>
        <w:pStyle w:val="BodyText"/>
      </w:pPr>
      <w:r>
        <w:t xml:space="preserve">The new experimental laptop ZIP uses the same profile and explicit model declaration. Extract it before running RUN_WINDOWS.cmd or</w:t>
      </w:r>
      <w:r>
        <w:t xml:space="preserve"> </w:t>
      </w:r>
      <w:r>
        <w:rPr>
          <w:rStyle w:val="VerbatimChar"/>
        </w:rPr>
        <w:t xml:space="preserve">bash RUN_MAC.command</w:t>
      </w:r>
      <w:r>
        <w:t xml:space="preserve">. This does not make a selected/deployment controller. Keep raw results even if prediction harms performance.</w:t>
      </w:r>
    </w:p>
    <w:p>
      <w:pPr>
        <w:pStyle w:val="BodyText"/>
      </w:pPr>
      <w:r>
        <w:t xml:space="preserve">The diagram can show a Model-based Delay Compensator inside the supervisor, taking past completed-response timing and current estimated state/reference, and supplying forecast physical features to the Observation Builder/PPO. The admission gate must retain its separate latest-state input.</w:t>
      </w:r>
    </w:p>
    <w:p>
      <w:pPr>
        <w:pStyle w:val="BodyText"/>
      </w:pPr>
      <w:r>
        <w:t xml:space="preserve">The honest report wording is:</w:t>
      </w:r>
      <w:r>
        <w:t xml:space="preserve"> </w:t>
      </w:r>
      <w:r>
        <w:rPr>
          <w:b/>
          <w:bCs/>
        </w:rPr>
        <w:t xml:space="preserve">LANS includes experimental causal model-based compensation for anticipated neural-response latency, together with latest-state predictive admission, unchanged stale-proposal rejection and LQR fallback.</w:t>
      </w:r>
      <w:r>
        <w:t xml:space="preserve"> </w:t>
      </w:r>
      <w:r>
        <w:t xml:space="preserve">Physical command-delay cancellation and guaranteed real-time operation are not claimed.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2026-10-27T10:56:34Z</dcterms:created>
  <dcterms:modified xsi:type="dcterms:W3CDTF">2026-10-27T10:56:34Z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