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center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40"/>
          <w:szCs w:val="40"/>
          <w:lang w:val="en-US"/>
        </w:rPr>
        <w:t>HTML</w:t>
      </w:r>
      <w:r>
        <w:rPr>
          <w:rFonts w:hint="default" w:ascii="DejaVu Math TeX Gyre" w:hAnsi="DejaVu Math TeX Gyre" w:cs="DejaVu Math TeX Gyre"/>
          <w:b/>
          <w:bCs/>
          <w:sz w:val="40"/>
          <w:szCs w:val="40"/>
          <w:u w:val="none"/>
          <w:lang w:val="en-US"/>
        </w:rPr>
        <w:t xml:space="preserve"> </w:t>
      </w:r>
      <w:r>
        <w:rPr>
          <w:rFonts w:hint="default" w:ascii="DejaVu Math TeX Gyre" w:hAnsi="DejaVu Math TeX Gyre" w:cs="DejaVu Math TeX Gyre"/>
          <w:b/>
          <w:bCs/>
          <w:sz w:val="40"/>
          <w:szCs w:val="40"/>
          <w:lang w:val="en-US"/>
        </w:rPr>
        <w:t>TAGS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center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36"/>
          <w:szCs w:val="36"/>
          <w:lang w:val="en-US"/>
        </w:rPr>
        <w:t>&lt;em&gt;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 xml:space="preserve">The HTML </w:t>
      </w:r>
      <w:r>
        <w:rPr>
          <w:rFonts w:hint="default" w:ascii="DejaVu Math TeX Gyre" w:hAnsi="DejaVu Math TeX Gyre" w:cs="DejaVu Math TeX Gyre"/>
          <w:i/>
          <w:iCs/>
          <w:sz w:val="24"/>
          <w:szCs w:val="24"/>
          <w:lang w:val="en-US"/>
        </w:rPr>
        <w:t xml:space="preserve">&lt;em&gt; </w:t>
      </w: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 xml:space="preserve">element marks text that has stress emphasis. The </w:t>
      </w:r>
      <w:r>
        <w:rPr>
          <w:rFonts w:hint="default" w:ascii="DejaVu Math TeX Gyre" w:hAnsi="DejaVu Math TeX Gyre" w:cs="DejaVu Math TeX Gyre"/>
          <w:i/>
          <w:iCs/>
          <w:sz w:val="24"/>
          <w:szCs w:val="24"/>
          <w:lang w:val="en-US"/>
        </w:rPr>
        <w:t>&lt;em&gt;</w:t>
      </w: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 xml:space="preserve"> element can be nested, with each level of nesting indicating a greater degree of emphasis.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32"/>
          <w:szCs w:val="32"/>
          <w:lang w:val="en-US"/>
        </w:rPr>
        <w:t>&lt;strong&gt; : The strong important element</w:t>
      </w:r>
      <w:r>
        <w:rPr>
          <w:rFonts w:hint="default" w:ascii="DejaVu Math TeX Gyre" w:hAnsi="DejaVu Math TeX Gyre" w:cs="DejaVu Math TeX Gyre"/>
          <w:sz w:val="32"/>
          <w:szCs w:val="32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The &lt;strong&gt; HTML element indicates that its contents have strong importance, seriousness, or urgently. Browsers typically render the contents in bold type.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32"/>
          <w:szCs w:val="32"/>
          <w:lang w:val="en-US"/>
        </w:rPr>
        <w:t>&lt;hr&gt; : The Thematic Break (Horizontal Rule) Element.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The &lt;hr&gt; HTML element represents a thematic break between paragraph-level elements: for example, a change of scene in a story , or a shift of topic within a section.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8"/>
          <w:szCs w:val="28"/>
          <w:lang w:val="en-US"/>
        </w:rPr>
        <w:t>Attributes: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align :</w:t>
      </w: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Sets the alignment of the rule on the page. It no value is specified the default value is left.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color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Sets the color of the through name or hexadecimal value.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nosade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Sets the rule to have no shading.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size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Sets the height, in pixels, of the rule.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width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Sets the length of the rule on the page through a pixel or percentage value.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Example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&lt;hr align=”left” color=”blue” width=”600px;” size=”5” noshade&gt;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36"/>
          <w:szCs w:val="36"/>
          <w:lang w:val="en-US"/>
        </w:rPr>
        <w:t>Bullet List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32"/>
          <w:szCs w:val="32"/>
          <w:lang w:val="en-US"/>
        </w:rPr>
        <w:t>&lt;ul&gt; : The Unordered List Element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The &lt;ul&gt; HTML element represents an unordered list of items, typically rendered used a bulleted list.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Example: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&lt;ul&gt;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21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&lt;li&gt;First List&lt;/lu&gt;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21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&lt;li&gt;Second List&lt;/li&gt;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21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&lt;li&gt;Thrid List&lt;/li&gt;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&lt;/ul&gt;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ul = Unoredered list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li = List item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32"/>
          <w:szCs w:val="32"/>
          <w:lang w:val="en-US"/>
        </w:rPr>
        <w:t>&lt;ol&gt; : The Ordered List Element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sz w:val="24"/>
          <w:szCs w:val="24"/>
          <w:lang w:val="en-US"/>
        </w:rPr>
        <w:t>The &lt;ol&gt; HTML element represents an ordered list of items – typically rendered as a numbered list.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jc w:val="left"/>
        <w:textAlignment w:val="auto"/>
        <w:rPr>
          <w:rFonts w:hint="default" w:ascii="DejaVu Math TeX Gyre" w:hAnsi="DejaVu Math TeX Gyre" w:cs="DejaVu Math TeX Gyre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8"/>
          <w:szCs w:val="28"/>
          <w:lang w:val="en-US"/>
        </w:rPr>
        <w:t>Example: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&lt;ol&gt;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78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&lt;li&gt;Course&lt;/li&gt;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78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&lt;li&gt;Fees&lt;/li&gt;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78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&lt;li&gt;Class&lt;/li&gt;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1078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&lt;li&gt;Time Table&lt;/li&gt;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&lt;/ol&gt;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ol = Ordered List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ascii="DejaVu Math TeX Gyre" w:hAnsi="DejaVu Math TeX Gyre" w:cs="DejaVu Math TeX Gyre"/>
          <w:b/>
          <w:bCs/>
          <w:sz w:val="28"/>
          <w:szCs w:val="28"/>
        </w:rPr>
      </w:pPr>
      <w:r>
        <w:rPr>
          <w:rFonts w:hint="default" w:ascii="DejaVu Math TeX Gyre" w:hAnsi="DejaVu Math TeX Gyre" w:cs="DejaVu Math TeX Gyre"/>
          <w:b/>
          <w:bCs/>
          <w:sz w:val="36"/>
          <w:szCs w:val="36"/>
          <w:lang w:val="en-US"/>
        </w:rPr>
        <w:t>Image Tag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&lt;img&gt; : The Image Embed Element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&lt;img src=”Rizwan.png”&gt;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Html Element = img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Html Attribute = src=”Rizwan.png”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The &lt;img&gt; HTML element embeds an image into the document.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ascii="DejaVu Math TeX Gyre" w:hAnsi="DejaVu Math TeX Gyre" w:cs="DejaVu Math TeX Gyre"/>
          <w:b/>
          <w:bCs/>
          <w:sz w:val="22"/>
          <w:szCs w:val="22"/>
        </w:rPr>
      </w:pPr>
      <w:r>
        <w:rPr>
          <w:rFonts w:hint="default" w:ascii="DejaVu Math TeX Gyre" w:hAnsi="DejaVu Math TeX Gyre" w:cs="DejaVu Math TeX Gyre"/>
          <w:b/>
          <w:bCs/>
          <w:sz w:val="28"/>
          <w:szCs w:val="28"/>
          <w:lang w:val="en-US"/>
        </w:rPr>
        <w:t>Example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i/>
          <w:iCs/>
          <w:sz w:val="21"/>
          <w:szCs w:val="21"/>
        </w:rPr>
      </w:pPr>
      <w:r>
        <w:rPr>
          <w:rFonts w:hint="default" w:ascii="DejaVu Math TeX Gyre" w:hAnsi="DejaVu Math TeX Gyre" w:cs="DejaVu Math TeX Gyre"/>
          <w:b w:val="0"/>
          <w:bCs w:val="0"/>
          <w:i/>
          <w:iCs/>
          <w:sz w:val="24"/>
          <w:szCs w:val="24"/>
          <w:lang w:val="en-US"/>
        </w:rPr>
        <w:t>&lt;img class=”Rizwan-Photo” src=”/media/pic/Rizwan.png” alt=”Profile Photo”&gt;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src</w:t>
      </w: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 xml:space="preserve"> = The src attribute is required, and contains the path to the image you want to embed.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/>
          <w:bCs/>
          <w:sz w:val="24"/>
          <w:szCs w:val="24"/>
          <w:lang w:val="en-US"/>
        </w:rPr>
        <w:t>alt</w:t>
      </w: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 xml:space="preserve"> = The alt attribute holds a text description of the image.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 xml:space="preserve">Anchor Tag: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&lt;a&gt; : The Anchor element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The &lt;a&gt; HTML Element (or anchor element), with its href Attribute, creates a hyperlink to web pages, files, emails, addresses, locations in the same page, or anything else a URL address.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Content within each &lt;a&gt; s</w:t>
      </w:r>
      <w:bookmarkStart w:id="0" w:name="_GoBack"/>
      <w:bookmarkEnd w:id="0"/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hould indicate the link’s destination, If the href attribute is present, pressing the enter key while focused on the &lt;a&gt; element will activate it.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&lt;a href=”https://............”&gt;Hello&lt;/a&gt;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a = Html Element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href = Html Attribute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https:// = Link Destination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Hello = Link Text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</w:pPr>
      <w:r>
        <w:rPr>
          <w:rFonts w:hint="default" w:ascii="DejaVu Math TeX Gyre" w:hAnsi="DejaVu Math TeX Gyre" w:cs="DejaVu Math TeX Gyre"/>
          <w:b w:val="0"/>
          <w:bCs w:val="0"/>
          <w:sz w:val="24"/>
          <w:szCs w:val="24"/>
          <w:lang w:val="en-US"/>
        </w:rPr>
        <w:t>&lt;/a&gt; = closing tag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360" w:lineRule="auto"/>
        <w:ind w:left="567"/>
        <w:jc w:val="left"/>
        <w:textAlignment w:val="auto"/>
        <w:rPr>
          <w:rFonts w:hint="default" w:ascii="DejaVu Math TeX Gyre" w:hAnsi="DejaVu Math TeX Gyre" w:cs="DejaVu Math TeX Gyre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line="360" w:lineRule="auto"/>
        <w:textAlignment w:val="auto"/>
        <w:rPr>
          <w:rFonts w:hint="default" w:ascii="DejaVu Math TeX Gyre" w:hAnsi="DejaVu Math TeX Gyre" w:cs="DejaVu Math TeX Gyre"/>
          <w:sz w:val="16"/>
          <w:szCs w:val="16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B52EA8"/>
    <w:rsid w:val="C6B52EA8"/>
    <w:rsid w:val="EDE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2022-07-21T17:04:00Z</dcterms:created>
  <dc:creator>rizwanshah9792</dc:creator>
  <cp:lastModifiedBy>rizwanshah9792</cp:lastModifiedBy>
  <dcterms:modified xsi:type="dcterms:W3CDTF">2022-07-22T22:09:00Z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