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District</w:t>
      </w:r>
      <w:r>
        <w:t xml:space="preserve"> </w:t>
      </w:r>
      <w:r>
        <w:t xml:space="preserve">Dataset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Dictionary</w:t>
      </w:r>
      <w:r>
        <w:t xml:space="preserve"> </w:t>
      </w:r>
      <w:r>
        <w:t xml:space="preserve">Report</w:t>
      </w:r>
    </w:p>
    <w:p>
      <w:pPr>
        <w:pStyle w:val="Subtitle"/>
      </w:pPr>
      <w:r>
        <w:t xml:space="preserve">Updated</w:t>
      </w:r>
      <w:r>
        <w:t xml:space="preserve"> </w:t>
      </w:r>
      <w:r>
        <w:t xml:space="preserve">Edition</w:t>
      </w:r>
      <w:r>
        <w:t xml:space="preserve"> </w:t>
      </w:r>
      <w:r>
        <w:t xml:space="preserve">—</w:t>
      </w:r>
      <w:r>
        <w:t xml:space="preserve"> </w:t>
      </w:r>
      <w:r>
        <w:t xml:space="preserve">Every</w:t>
      </w:r>
      <w:r>
        <w:t xml:space="preserve"> </w:t>
      </w:r>
      <w:r>
        <w:t xml:space="preserve">Column</w:t>
      </w:r>
      <w:r>
        <w:t xml:space="preserve"> </w:t>
      </w:r>
      <w:r>
        <w:t xml:space="preserve">Explained</w:t>
      </w:r>
      <w:r>
        <w:t xml:space="preserve"> </w:t>
      </w:r>
      <w:r>
        <w:t xml:space="preserve">in</w:t>
      </w:r>
      <w:r>
        <w:t xml:space="preserve"> </w:t>
      </w:r>
      <w:r>
        <w:t xml:space="preserve">Plain</w:t>
      </w:r>
      <w:r>
        <w:t xml:space="preserve"> </w:t>
      </w:r>
      <w:r>
        <w:t xml:space="preserve">Language</w:t>
      </w:r>
    </w:p>
    <w:p>
      <w:pPr>
        <w:pStyle w:val="Author"/>
      </w:pPr>
      <w:r>
        <w:t xml:space="preserve">Internship</w:t>
      </w:r>
      <w:r>
        <w:t xml:space="preserve"> </w:t>
      </w:r>
      <w: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t xml:space="preserve">Minorities</w:t>
      </w:r>
      <w:r>
        <w:t xml:space="preserve"> </w:t>
      </w:r>
      <w:r>
        <w:t xml:space="preserve">Early-Warning</w:t>
      </w:r>
      <w:r>
        <w:t xml:space="preserve"> </w:t>
      </w:r>
      <w:r>
        <w:t xml:space="preserve">System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dc7a431ec3f5c272a469d32fd487cdde7f7cd87"/>
      <w:r>
        <w:t xml:space="preserve">A note on the placeholders in this document</w:t>
      </w:r>
      <w:bookmarkEnd w:id="20"/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</w:rPr>
        <w:t xml:space="preserve">public release</w:t>
      </w:r>
      <w:r>
        <w:t xml:space="preserve"> </w:t>
      </w:r>
      <w:r>
        <w:t xml:space="preserve">of the data dictionary. Internal PSCA</w:t>
      </w:r>
      <w:r>
        <w:t xml:space="preserve"> </w:t>
      </w:r>
      <w:r>
        <w:t xml:space="preserve">schema details (source database names, exact column names of the</w:t>
      </w:r>
      <w:r>
        <w:t xml:space="preserve"> </w:t>
      </w:r>
      <w:r>
        <w:t xml:space="preserve">Emergency-15 case log) have been replaced with generic placeholders</w:t>
      </w:r>
      <w:r>
        <w:t xml:space="preserve"> </w:t>
      </w:r>
      <w:r>
        <w:t xml:space="preserve">in angle brackets — for example</w:t>
      </w:r>
      <w:r>
        <w:t xml:space="preserve"> </w:t>
      </w:r>
      <w:r>
        <w:rPr>
          <w:rStyle w:val="VerbatimChar"/>
        </w:rPr>
        <w:t xml:space="preserve">&lt;source_call_log_table&gt;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&lt;category_lvl2&gt;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&lt;case_id&gt;</w:t>
      </w:r>
      <w:r>
        <w:t xml:space="preserve">. The methodology, structure, and</w:t>
      </w:r>
      <w:r>
        <w:t xml:space="preserve"> </w:t>
      </w:r>
      <w:r>
        <w:t xml:space="preserve">field meanings are unchanged; only the institutional names have been</w:t>
      </w:r>
      <w:r>
        <w:t xml:space="preserve"> </w:t>
      </w:r>
      <w:r>
        <w:t xml:space="preserve">genericized so the document is safe to share publicly.</w:t>
      </w:r>
    </w:p>
    <w:p>
      <w:pPr>
        <w:pStyle w:val="BodyText"/>
      </w:pPr>
      <w:r>
        <w:t xml:space="preserve">If you receive the full project bundle as a trusted recipient, the</w:t>
      </w:r>
      <w:r>
        <w:t xml:space="preserve"> </w:t>
      </w:r>
      <w:r>
        <w:t xml:space="preserve">internal data dictionary in that bundle uses the real names.</w:t>
      </w:r>
    </w:p>
    <w:p>
      <w:pPr>
        <w:pStyle w:val="Heading1"/>
      </w:pPr>
      <w:bookmarkStart w:id="21" w:name="plain-language-summary-first"/>
      <w:r>
        <w:t xml:space="preserve">Plain-Language Summary First</w:t>
      </w:r>
      <w:bookmarkEnd w:id="21"/>
    </w:p>
    <w:p>
      <w:pPr>
        <w:pStyle w:val="FirstParagraph"/>
      </w:pPr>
      <w:r>
        <w:t xml:space="preserve">If you’re new to this kind of document, here’s what it is: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b/>
        </w:rPr>
        <w:t xml:space="preserve">data dictionary</w:t>
      </w:r>
      <w:r>
        <w:t xml:space="preserve"> </w:t>
      </w:r>
      <w:r>
        <w:t xml:space="preserve">is just a list of every column in a table,</w:t>
      </w:r>
      <w:r>
        <w:t xml:space="preserve"> </w:t>
      </w:r>
      <w:r>
        <w:t xml:space="preserve">what’s in it, what it means, and where it came from. It’s like the</w:t>
      </w:r>
      <w:r>
        <w:t xml:space="preserve"> </w:t>
      </w:r>
      <w:r>
        <w:t xml:space="preserve">table of contents at the front of a book — you can look up anything</w:t>
      </w:r>
      <w:r>
        <w:t xml:space="preserve"> </w:t>
      </w:r>
      <w:r>
        <w:t xml:space="preserve">without reading the whole book.</w:t>
      </w:r>
    </w:p>
    <w:p>
      <w:pPr>
        <w:pStyle w:val="BlockText"/>
      </w:pPr>
      <w:r>
        <w:t xml:space="preserve">This document is the data dictionary for the working table at the</w:t>
      </w:r>
      <w:r>
        <w:t xml:space="preserve"> </w:t>
      </w:r>
      <w:r>
        <w:t xml:space="preserve">heart of the Minorities Early-Warning System. The table is called</w:t>
      </w:r>
      <w:r>
        <w:t xml:space="preserve"> </w:t>
      </w:r>
      <w:r>
        <w:rPr>
          <w:rStyle w:val="VerbatimChar"/>
        </w:rPr>
        <w:t xml:space="preserve">minority_incidents</w:t>
      </w:r>
      <w:r>
        <w:t xml:space="preserve">, and it has</w:t>
      </w:r>
      <w:r>
        <w:t xml:space="preserve"> </w:t>
      </w:r>
      <w:r>
        <w:rPr>
          <w:b/>
        </w:rPr>
        <w:t xml:space="preserve">4,110 rows</w:t>
      </w:r>
      <w:r>
        <w:t xml:space="preserve"> </w:t>
      </w:r>
      <w:r>
        <w:t xml:space="preserve">(one row per phone</w:t>
      </w:r>
      <w:r>
        <w:t xml:space="preserve"> </w:t>
      </w:r>
      <w:r>
        <w:t xml:space="preserve">call to PSCA’s Emergency-15 helpline involving a religious minority)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23 columns</w:t>
      </w:r>
      <w:r>
        <w:t xml:space="preserve"> </w:t>
      </w:r>
      <w:r>
        <w:t xml:space="preserve">(different pieces of information about each call).</w:t>
      </w:r>
    </w:p>
    <w:p>
      <w:pPr>
        <w:pStyle w:val="BlockText"/>
      </w:pPr>
      <w:r>
        <w:t xml:space="preserve">The document also explains the</w:t>
      </w:r>
      <w:r>
        <w:t xml:space="preserve"> </w:t>
      </w:r>
      <w:r>
        <w:rPr>
          <w:b/>
        </w:rPr>
        <w:t xml:space="preserve">district-level severity dataset</w:t>
      </w:r>
      <w:r>
        <w:t xml:space="preserve"> </w:t>
      </w:r>
      <w:r>
        <w:t xml:space="preserve">— a summary CSV that aggregates the 4,110 calls up to the district</w:t>
      </w:r>
      <w:r>
        <w:t xml:space="preserve"> </w:t>
      </w:r>
      <w:r>
        <w:t xml:space="preserve">level and assigns each district a severity rating (Low / Medium /</w:t>
      </w:r>
      <w:r>
        <w:t xml:space="preserve"> </w:t>
      </w:r>
      <w:r>
        <w:t xml:space="preserve">High / Critical).</w:t>
      </w:r>
    </w:p>
    <w:p>
      <w:pPr>
        <w:pStyle w:val="Heading1"/>
      </w:pPr>
      <w:bookmarkStart w:id="22" w:name="the-working-table-minority_incidents"/>
      <w:r>
        <w:t xml:space="preserve">1. The Working Table —</w:t>
      </w:r>
      <w:r>
        <w:t xml:space="preserve"> </w:t>
      </w:r>
      <w:r>
        <w:rPr>
          <w:rStyle w:val="VerbatimChar"/>
        </w:rPr>
        <w:t xml:space="preserve">minority_incidents</w:t>
      </w:r>
      <w:bookmarkEnd w:id="22"/>
    </w:p>
    <w:p>
      <w:pPr>
        <w:pStyle w:val="Heading2"/>
      </w:pPr>
      <w:bookmarkStart w:id="23" w:name="where-it-lives"/>
      <w:r>
        <w:t xml:space="preserve">1.1 Where it lives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&lt;analytics_db&gt;</w:t>
            </w:r>
            <w:r>
              <w:t xml:space="preserve"> </w:t>
            </w:r>
            <w:r>
              <w:t xml:space="preserve">(PostgreSQL)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minority_incidents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p>
            <w:pPr>
              <w:pStyle w:val="Compact"/>
              <w:jc w:val="left"/>
            </w:pPr>
            <w:r>
              <w:t xml:space="preserve">4,110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Built from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&lt;source_call_log_table&gt;</w:t>
            </w:r>
            <w:r>
              <w:t xml:space="preserve"> </w:t>
            </w:r>
            <w:r>
              <w:t xml:space="preserve">(a 5.7-million-row source)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code_reference/data/build_minority_incidents.py</w:t>
            </w:r>
          </w:p>
        </w:tc>
      </w:tr>
    </w:tbl>
    <w:p>
      <w:pPr>
        <w:pStyle w:val="Heading2"/>
      </w:pPr>
      <w:bookmarkStart w:id="24" w:name="whats-in-it"/>
      <w:r>
        <w:t xml:space="preserve">1.2 What’s in it</w:t>
      </w:r>
      <w:bookmarkEnd w:id="24"/>
    </w:p>
    <w:p>
      <w:pPr>
        <w:pStyle w:val="FirstParagraph"/>
      </w:pPr>
      <w:r>
        <w:t xml:space="preserve">Each row is one phone call to Emergency-15 where the call satisfies</w:t>
      </w:r>
      <w:r>
        <w:t xml:space="preserve"> </w:t>
      </w:r>
      <w:r>
        <w:rPr>
          <w:b/>
        </w:rPr>
        <w:t xml:space="preserve">either</w:t>
      </w:r>
      <w:r>
        <w:t xml:space="preserve"> </w:t>
      </w:r>
      <w:r>
        <w:t xml:space="preserve">of these two filters:</w:t>
      </w:r>
    </w:p>
    <w:p>
      <w:pPr>
        <w:numPr>
          <w:ilvl w:val="0"/>
          <w:numId w:val="1001"/>
        </w:numPr>
        <w:pStyle w:val="Compact"/>
      </w:pPr>
      <w:r>
        <w:t xml:space="preserve">The operator tagged the call as 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Religious Offence</w:t>
      </w:r>
      <w:r>
        <w:rPr>
          <w:b/>
        </w:rPr>
        <w:t xml:space="preserve">”</w:t>
      </w:r>
      <w:r>
        <w:t xml:space="preserve"> </w:t>
      </w:r>
      <w:r>
        <w:t xml:space="preserve">in the</w:t>
      </w:r>
      <w:r>
        <w:t xml:space="preserve"> </w:t>
      </w:r>
      <w:r>
        <w:t xml:space="preserve">case-nature hierarchy,</w:t>
      </w:r>
      <w:r>
        <w:t xml:space="preserve"> </w:t>
      </w:r>
      <w:r>
        <w:rPr>
          <w:b/>
        </w:rPr>
        <w:t xml:space="preserve">OR</w:t>
      </w:r>
    </w:p>
    <w:p>
      <w:pPr>
        <w:numPr>
          <w:ilvl w:val="0"/>
          <w:numId w:val="1001"/>
        </w:numPr>
        <w:pStyle w:val="Compact"/>
      </w:pPr>
      <w:r>
        <w:t xml:space="preserve">The caller’s description</w:t>
      </w:r>
      <w:r>
        <w:t xml:space="preserve"> </w:t>
      </w:r>
      <w:r>
        <w:rPr>
          <w:b/>
        </w:rPr>
        <w:t xml:space="preserve">mentions a minority community by name</w:t>
      </w:r>
      <w:r>
        <w:t xml:space="preserve"> </w:t>
      </w:r>
      <w:r>
        <w:t xml:space="preserve">(Christian, Ahmadi, Hindu, Sikh) or a place of worship (church,</w:t>
      </w:r>
      <w:r>
        <w:t xml:space="preserve"> </w:t>
      </w:r>
      <w:r>
        <w:t xml:space="preserve">temple, gurdwara) or a religious-accusation keyword (blasphemy).</w:t>
      </w:r>
    </w:p>
    <w:p>
      <w:pPr>
        <w:pStyle w:val="FirstParagraph"/>
      </w:pPr>
      <w:r>
        <w:t xml:space="preserve">This is a deliberately wide filter — we’d rather pick up too many</w:t>
      </w:r>
      <w:r>
        <w:t xml:space="preserve"> </w:t>
      </w:r>
      <w:r>
        <w:t xml:space="preserve">cases than miss real ones. A stricter label (</w:t>
      </w:r>
      <w:r>
        <w:rPr>
          <w:rStyle w:val="VerbatimChar"/>
        </w:rPr>
        <w:t xml:space="preserve">is_minority_targeted</w:t>
      </w:r>
      <w:r>
        <w:t xml:space="preserve">)</w:t>
      </w:r>
      <w:r>
        <w:t xml:space="preserve"> </w:t>
      </w:r>
      <w:r>
        <w:t xml:space="preserve">is provided as a column so downstream code can filter to only the</w:t>
      </w:r>
      <w:r>
        <w:t xml:space="preserve"> </w:t>
      </w:r>
      <w:r>
        <w:t xml:space="preserve">high-confidence positives.</w:t>
      </w:r>
    </w:p>
    <w:p>
      <w:pPr>
        <w:pStyle w:val="Heading2"/>
      </w:pPr>
      <w:bookmarkStart w:id="25" w:name="quick-numbers"/>
      <w:r>
        <w:t xml:space="preserve">1.3 Quick numbers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of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rows</w:t>
            </w:r>
          </w:p>
        </w:tc>
        <w:tc>
          <w:p>
            <w:pPr>
              <w:pStyle w:val="Compact"/>
              <w:jc w:val="left"/>
            </w:pPr>
            <w:r>
              <w:t xml:space="preserve">4,110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Rows from Lahore</w:t>
            </w:r>
          </w:p>
        </w:tc>
        <w:tc>
          <w:p>
            <w:pPr>
              <w:pStyle w:val="Compact"/>
              <w:jc w:val="left"/>
            </w:pPr>
            <w:r>
              <w:t xml:space="preserve">928</w:t>
            </w:r>
          </w:p>
        </w:tc>
        <w:tc>
          <w:p>
            <w:pPr>
              <w:pStyle w:val="Compact"/>
              <w:jc w:val="left"/>
            </w:pPr>
            <w:r>
              <w:t xml:space="preserve">22.6%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Strict-label minority-targeted</w:t>
            </w:r>
          </w:p>
        </w:tc>
        <w:tc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p>
            <w:pPr>
              <w:pStyle w:val="Compact"/>
              <w:jc w:val="left"/>
            </w:pPr>
            <w:r>
              <w:t xml:space="preserve">7.6%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With valid GPS coordinates</w:t>
            </w:r>
          </w:p>
        </w:tc>
        <w:tc>
          <w:p>
            <w:pPr>
              <w:pStyle w:val="Compact"/>
              <w:jc w:val="left"/>
            </w:pPr>
            <w:r>
              <w:t xml:space="preserve">3,281</w:t>
            </w:r>
          </w:p>
        </w:tc>
        <w:tc>
          <w:p>
            <w:pPr>
              <w:pStyle w:val="Compact"/>
              <w:jc w:val="left"/>
            </w:pPr>
            <w:r>
              <w:t xml:space="preserve">79.8%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2024</w:t>
            </w:r>
          </w:p>
        </w:tc>
        <w:tc>
          <w:p>
            <w:pPr>
              <w:pStyle w:val="Compact"/>
              <w:jc w:val="left"/>
            </w:pPr>
            <w:r>
              <w:t xml:space="preserve">1,450</w:t>
            </w:r>
          </w:p>
        </w:tc>
        <w:tc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2025</w:t>
            </w:r>
          </w:p>
        </w:tc>
        <w:tc>
          <w:p>
            <w:pPr>
              <w:pStyle w:val="Compact"/>
              <w:jc w:val="left"/>
            </w:pPr>
            <w:r>
              <w:t xml:space="preserve">2,117</w:t>
            </w:r>
          </w:p>
        </w:tc>
        <w:tc>
          <w:p>
            <w:pPr>
              <w:pStyle w:val="Compact"/>
              <w:jc w:val="left"/>
            </w:pPr>
            <w:r>
              <w:t xml:space="preserve">52%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2026 (Jan–June)</w:t>
            </w:r>
          </w:p>
        </w:tc>
        <w:tc>
          <w:p>
            <w:pPr>
              <w:pStyle w:val="Compact"/>
              <w:jc w:val="left"/>
            </w:pPr>
            <w:r>
              <w:t xml:space="preserve">525</w:t>
            </w:r>
          </w:p>
        </w:tc>
        <w:tc>
          <w:p>
            <w:pPr>
              <w:pStyle w:val="Compact"/>
              <w:jc w:val="left"/>
            </w:pPr>
            <w:r>
              <w:t xml:space="preserve">13%</w:t>
            </w:r>
          </w:p>
        </w:tc>
      </w:tr>
    </w:tbl>
    <w:p>
      <w:pPr>
        <w:pStyle w:val="Heading1"/>
      </w:pPr>
      <w:bookmarkStart w:id="26" w:name="column-by-column-walkthrough"/>
      <w:r>
        <w:t xml:space="preserve">2. Column-by-Column Walkthrough</w:t>
      </w:r>
      <w:bookmarkEnd w:id="26"/>
    </w:p>
    <w:p>
      <w:pPr>
        <w:pStyle w:val="FirstParagraph"/>
      </w:pPr>
      <w:r>
        <w:t xml:space="preserve">There are 23 columns. We group them into 6 logical buckets to make it</w:t>
      </w:r>
      <w:r>
        <w:t xml:space="preserve"> </w:t>
      </w:r>
      <w:r>
        <w:t xml:space="preserve">easier to follow.</w:t>
      </w:r>
    </w:p>
    <w:p>
      <w:pPr>
        <w:pStyle w:val="Heading2"/>
      </w:pPr>
      <w:bookmarkStart w:id="27" w:name="identifier-columns-3"/>
      <w:r>
        <w:t xml:space="preserve">2.1 Identifier columns (3)</w:t>
      </w:r>
      <w:bookmarkEnd w:id="27"/>
    </w:p>
    <w:p>
      <w:pPr>
        <w:pStyle w:val="FirstParagraph"/>
      </w:pPr>
      <w:r>
        <w:t xml:space="preserve">These uniquely identify each row in the table.</w:t>
      </w:r>
    </w:p>
    <w:p>
      <w:pPr>
        <w:pStyle w:val="Heading3"/>
      </w:pPr>
      <w:bookmarkStart w:id="28" w:name="id-internal-database-id"/>
      <w:r>
        <w:rPr>
          <w:rStyle w:val="VerbatimChar"/>
        </w:rPr>
        <w:t xml:space="preserve">id</w:t>
      </w:r>
      <w:r>
        <w:t xml:space="preserve"> </w:t>
      </w:r>
      <w:r>
        <w:t xml:space="preserve">— Internal database ID</w:t>
      </w:r>
      <w:bookmarkEnd w:id="2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Integer (auto-increment)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p>
            <w:pPr>
              <w:pStyle w:val="Compact"/>
              <w:jc w:val="left"/>
            </w:pPr>
            <w:r>
              <w:t xml:space="preserve">A unique number assigned to each row when it was loaded. Has no meaning outside this table — it’s just a row-counter.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 it’s here</w:t>
            </w:r>
          </w:p>
        </w:tc>
        <w:tc>
          <w:p>
            <w:pPr>
              <w:pStyle w:val="Compact"/>
              <w:jc w:val="left"/>
            </w:pPr>
            <w:r>
              <w:t xml:space="preserve">So that other tables (predictions, features) can link back to a specific row.</w:t>
            </w:r>
          </w:p>
        </w:tc>
      </w:tr>
    </w:tbl>
    <w:p>
      <w:pPr>
        <w:pStyle w:val="Heading3"/>
      </w:pPr>
      <w:bookmarkStart w:id="29" w:name="case_id-official-psca-case-reference"/>
      <w:r>
        <w:rPr>
          <w:rStyle w:val="VerbatimChar"/>
        </w:rPr>
        <w:t xml:space="preserve">&lt;case_id&gt;</w:t>
      </w:r>
      <w:r>
        <w:t xml:space="preserve"> </w:t>
      </w:r>
      <w:r>
        <w:t xml:space="preserve">— Official PSCA case reference</w:t>
      </w:r>
      <w:bookmarkEnd w:id="2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LHR-20260615-323147436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p>
            <w:pPr>
              <w:pStyle w:val="Compact"/>
              <w:jc w:val="left"/>
            </w:pPr>
            <w:r>
              <w:t xml:space="preserve">The official case identifier assigned by Emergency-15 when the call was logged. Same format as PSCA uses elsewhere.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 it’s here</w:t>
            </w:r>
          </w:p>
        </w:tc>
        <w:tc>
          <w:p>
            <w:pPr>
              <w:pStyle w:val="Compact"/>
              <w:jc w:val="left"/>
            </w:pPr>
            <w:r>
              <w:t xml:space="preserve">So a human analyst can look up the same case in PSCA’s other systems.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note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is internal PSCA reference data. Do not share publicly.</w:t>
            </w:r>
          </w:p>
        </w:tc>
      </w:tr>
    </w:tbl>
    <w:p>
      <w:pPr>
        <w:pStyle w:val="Heading3"/>
      </w:pPr>
      <w:bookmarkStart w:id="30" w:name="dispatch_id-psca-system-lead-id"/>
      <w:r>
        <w:rPr>
          <w:rStyle w:val="VerbatimChar"/>
        </w:rPr>
        <w:t xml:space="preserve">&lt;dispatch_id&gt;</w:t>
      </w:r>
      <w:r>
        <w:t xml:space="preserve"> </w:t>
      </w:r>
      <w:r>
        <w:t xml:space="preserve">— PSCA system lead ID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15612345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p>
            <w:pPr>
              <w:pStyle w:val="Compact"/>
              <w:jc w:val="left"/>
            </w:pPr>
            <w:r>
              <w:t xml:space="preserve">Another PSCA-internal identifier, used for cross-referencing with the lead-management system.</w:t>
            </w:r>
          </w:p>
        </w:tc>
      </w:tr>
    </w:tbl>
    <w:p>
      <w:pPr>
        <w:pStyle w:val="Heading2"/>
      </w:pPr>
      <w:bookmarkStart w:id="31" w:name="time-columns-4"/>
      <w:r>
        <w:t xml:space="preserve">2.2 Time columns (4)</w:t>
      </w:r>
      <w:bookmarkEnd w:id="31"/>
    </w:p>
    <w:p>
      <w:pPr>
        <w:pStyle w:val="FirstParagraph"/>
      </w:pPr>
      <w:r>
        <w:t xml:space="preserve">When did the incident happen?</w:t>
      </w:r>
    </w:p>
    <w:p>
      <w:pPr>
        <w:pStyle w:val="Heading3"/>
      </w:pPr>
      <w:bookmarkStart w:id="32" w:name="X73d9002500983110bcea415334c8de9328f4fbc"/>
      <w:r>
        <w:rPr>
          <w:rStyle w:val="VerbatimChar"/>
        </w:rPr>
        <w:t xml:space="preserve">incident_date</w:t>
      </w:r>
      <w:r>
        <w:t xml:space="preserve"> </w:t>
      </w:r>
      <w:r>
        <w:t xml:space="preserve">— The day the case was reported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Date (YYYY-MM-DD)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2026-06-15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p>
            <w:pPr>
              <w:pStyle w:val="Compact"/>
              <w:jc w:val="left"/>
            </w:pPr>
            <w:r>
              <w:t xml:space="preserve">The calendar date the call was placed.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&lt;source_call_log_table&gt;.date</w:t>
            </w:r>
            <w:r>
              <w:t xml:space="preserve"> </w:t>
            </w:r>
            <w:r>
              <w:t xml:space="preserve">(parsed from text)</w:t>
            </w:r>
          </w:p>
        </w:tc>
      </w:tr>
    </w:tbl>
    <w:p>
      <w:pPr>
        <w:pStyle w:val="Heading3"/>
      </w:pPr>
      <w:bookmarkStart w:id="33" w:name="Xa5d1e7f4a1cf42463ebeed9cb54a4f90590fa8e"/>
      <w:r>
        <w:rPr>
          <w:rStyle w:val="VerbatimChar"/>
        </w:rPr>
        <w:t xml:space="preserve">&lt;received_time&gt;</w:t>
      </w:r>
      <w:r>
        <w:t xml:space="preserve"> </w:t>
      </w:r>
      <w:r>
        <w:t xml:space="preserve">— Exact timestamp the call was accepted</w:t>
      </w:r>
      <w:bookmarkEnd w:id="3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Timestamp (YYYY-MM-DD HH:MM:SS)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2026-06-15 14:23:08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p>
            <w:pPr>
              <w:pStyle w:val="Compact"/>
              <w:jc w:val="left"/>
            </w:pPr>
            <w:r>
              <w:t xml:space="preserve">The exact second the call was picked up by an operator.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p>
            <w:pPr>
              <w:pStyle w:val="Compact"/>
              <w:jc w:val="left"/>
            </w:pPr>
            <w:r>
              <w:t xml:space="preserve">Computing</w:t>
            </w:r>
            <w:r>
              <w:t xml:space="preserve"> </w:t>
            </w:r>
            <w:r>
              <w:t xml:space="preserve">“</w:t>
            </w:r>
            <w:r>
              <w:t xml:space="preserve">prior 30 days</w:t>
            </w:r>
            <w:r>
              <w:t xml:space="preserve">”</w:t>
            </w:r>
            <w:r>
              <w:t xml:space="preserve"> </w:t>
            </w:r>
            <w:r>
              <w:t xml:space="preserve">counts — we use this for strict temporal ordering.</w:t>
            </w:r>
          </w:p>
        </w:tc>
      </w:tr>
    </w:tbl>
    <w:p>
      <w:pPr>
        <w:pStyle w:val="Heading3"/>
      </w:pPr>
      <w:bookmarkStart w:id="34" w:name="X0a10a03517d325619aea7b7752965802724d997"/>
      <w:r>
        <w:rPr>
          <w:rStyle w:val="VerbatimChar"/>
        </w:rPr>
        <w:t xml:space="preserve">incident_year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incident_month</w:t>
      </w:r>
      <w:r>
        <w:t xml:space="preserve"> </w:t>
      </w:r>
      <w:r>
        <w:t xml:space="preserve">— Numeric breakouts</w:t>
      </w:r>
      <w:bookmarkEnd w:id="3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p>
            <w:pPr>
              <w:pStyle w:val="Compact"/>
              <w:jc w:val="left"/>
            </w:pPr>
            <w:r>
              <w:t xml:space="preserve">Year (4 digits) and month (1–12) extracted from</w:t>
            </w:r>
            <w:r>
              <w:t xml:space="preserve"> </w:t>
            </w:r>
            <w:r>
              <w:rPr>
                <w:rStyle w:val="VerbatimChar"/>
              </w:rPr>
              <w:t xml:space="preserve">incident_date</w:t>
            </w:r>
            <w:r>
              <w:t xml:space="preserve">. Convenience columns to make grouping by year/month easy.</w:t>
            </w:r>
          </w:p>
        </w:tc>
      </w:tr>
    </w:tbl>
    <w:p>
      <w:pPr>
        <w:pStyle w:val="Heading2"/>
      </w:pPr>
      <w:bookmarkStart w:id="35" w:name="location-columns-7"/>
      <w:r>
        <w:t xml:space="preserve">2.3 Location columns (7)</w:t>
      </w:r>
      <w:bookmarkEnd w:id="35"/>
    </w:p>
    <w:p>
      <w:pPr>
        <w:pStyle w:val="FirstParagraph"/>
      </w:pPr>
      <w:r>
        <w:t xml:space="preserve">Where did the incident happen?</w:t>
      </w:r>
    </w:p>
    <w:p>
      <w:pPr>
        <w:pStyle w:val="Heading3"/>
      </w:pPr>
      <w:bookmarkStart w:id="36" w:name="district_id-numeric-district-identifier"/>
      <w:r>
        <w:rPr>
          <w:rStyle w:val="VerbatimChar"/>
        </w:rPr>
        <w:t xml:space="preserve">district_id</w:t>
      </w:r>
      <w:r>
        <w:t xml:space="preserve"> </w:t>
      </w:r>
      <w:r>
        <w:t xml:space="preserve">— Numeric district identifier</w:t>
      </w:r>
      <w:bookmarkEnd w:id="3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 (numeric string)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</w:t>
            </w:r>
            <w:r>
              <w:t xml:space="preserve"> </w:t>
            </w:r>
            <w:r>
              <w:t xml:space="preserve">(Lahore),</w:t>
            </w:r>
            <w:r>
              <w:t xml:space="preserve"> </w:t>
            </w:r>
            <w:r>
              <w:rPr>
                <w:rStyle w:val="VerbatimChar"/>
              </w:rPr>
              <w:t xml:space="preserve">25</w:t>
            </w:r>
            <w:r>
              <w:t xml:space="preserve"> </w:t>
            </w:r>
            <w:r>
              <w:t xml:space="preserve">(Multan)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p>
            <w:pPr>
              <w:pStyle w:val="Compact"/>
              <w:jc w:val="left"/>
            </w:pPr>
            <w:r>
              <w:t xml:space="preserve">The Emergency-15 system’s district identifier. The same system is used across PSCA, the police boundaries database, and Emergency-15 dispatch.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Lookup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&lt;station_boundaries_ref&gt;.district_id</w:t>
            </w:r>
            <w:r>
              <w:t xml:space="preserve"> </w:t>
            </w:r>
            <w:r>
              <w:t xml:space="preserve">to resolve.</w:t>
            </w:r>
          </w:p>
        </w:tc>
      </w:tr>
    </w:tbl>
    <w:p>
      <w:pPr>
        <w:pStyle w:val="Heading3"/>
      </w:pPr>
      <w:bookmarkStart w:id="37" w:name="X14d8fea097702ac509794228e99770fde8e55c0"/>
      <w:r>
        <w:rPr>
          <w:rStyle w:val="VerbatimChar"/>
        </w:rPr>
        <w:t xml:space="preserve">district_name</w:t>
      </w:r>
      <w:r>
        <w:t xml:space="preserve"> </w:t>
      </w:r>
      <w:r>
        <w:t xml:space="preserve">— Human-readable district name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Lahore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Faisalabad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Resolved from</w:t>
            </w:r>
            <w:r>
              <w:t xml:space="preserve"> </w:t>
            </w:r>
            <w:r>
              <w:rPr>
                <w:rStyle w:val="VerbatimChar"/>
              </w:rPr>
              <w:t xml:space="preserve">district_id</w:t>
            </w:r>
            <w:r>
              <w:t xml:space="preserve"> </w:t>
            </w:r>
            <w:r>
              <w:t xml:space="preserve">via the</w:t>
            </w:r>
            <w:r>
              <w:t xml:space="preserve"> </w:t>
            </w:r>
            <w:r>
              <w:rPr>
                <w:rStyle w:val="VerbatimChar"/>
              </w:rPr>
              <w:t xml:space="preserve">&lt;station_boundaries_ref&gt;</w:t>
            </w:r>
            <w:r>
              <w:t xml:space="preserve"> </w:t>
            </w:r>
            <w:r>
              <w:t xml:space="preserve">table</w:t>
            </w:r>
          </w:p>
        </w:tc>
      </w:tr>
    </w:tbl>
    <w:p>
      <w:pPr>
        <w:pStyle w:val="Heading3"/>
      </w:pPr>
      <w:bookmarkStart w:id="38" w:name="X3e61d440470008f92ea38ed77ccf91533c44f8e"/>
      <w:r>
        <w:rPr>
          <w:rStyle w:val="VerbatimChar"/>
        </w:rPr>
        <w:t xml:space="preserve">police_station_id</w:t>
      </w:r>
      <w:r>
        <w:t xml:space="preserve"> </w:t>
      </w:r>
      <w:r>
        <w:t xml:space="preserve">— Specific police station code</w:t>
      </w:r>
      <w:bookmarkEnd w:id="3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 (numeric string)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p>
            <w:pPr>
              <w:pStyle w:val="Compact"/>
              <w:jc w:val="left"/>
            </w:pPr>
            <w:r>
              <w:t xml:space="preserve">The Emergency-15 identifier for the specific police station responsible for this geographic area. Punjab has 656 such police stations.</w:t>
            </w:r>
          </w:p>
        </w:tc>
      </w:tr>
    </w:tbl>
    <w:p>
      <w:pPr>
        <w:pStyle w:val="Heading3"/>
      </w:pPr>
      <w:bookmarkStart w:id="39" w:name="police_station-human-readable-ps-name"/>
      <w:r>
        <w:rPr>
          <w:rStyle w:val="VerbatimChar"/>
        </w:rPr>
        <w:t xml:space="preserve">police_station</w:t>
      </w:r>
      <w:r>
        <w:t xml:space="preserve"> </w:t>
      </w:r>
      <w:r>
        <w:t xml:space="preserve">— Human-readable PS name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Mughalpura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 Anarkali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Garhi Shahu</w:t>
            </w:r>
          </w:p>
        </w:tc>
      </w:tr>
    </w:tbl>
    <w:p>
      <w:pPr>
        <w:pStyle w:val="Heading3"/>
      </w:pPr>
      <w:bookmarkStart w:id="40" w:name="lat-long-gps-coordinates-of-the-incident"/>
      <w:r>
        <w:rPr>
          <w:rStyle w:val="VerbatimChar"/>
        </w:rPr>
        <w:t xml:space="preserve">lat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— GPS coordinates of the incident</w:t>
      </w:r>
      <w:bookmarkEnd w:id="4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Floating-point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lat: 31.5615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long: 74.3095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p>
            <w:pPr>
              <w:pStyle w:val="Compact"/>
              <w:jc w:val="left"/>
            </w:pPr>
            <w:r>
              <w:t xml:space="preserve">Latitude and longitude where the caller’s phone said they were. Some are exact incident locations; some are police-station centroids (when the caller location couldn’t be determined).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About 80% of rows have valid coordinates. The rest have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for these fields.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note</w:t>
            </w:r>
          </w:p>
        </w:tc>
        <w:tc>
          <w:p>
            <w:pPr>
              <w:pStyle w:val="Compact"/>
              <w:jc w:val="left"/>
            </w:pPr>
            <w:r>
              <w:t xml:space="preserve">These are precise to ~3 decimal places, about 100 meters. Anyone with the lat/long can pinpoint a house. For external presentation, consider rounding to 3 decimals (~110m) to reduce precision.</w:t>
            </w:r>
          </w:p>
        </w:tc>
      </w:tr>
    </w:tbl>
    <w:p>
      <w:pPr>
        <w:pStyle w:val="Heading3"/>
      </w:pPr>
      <w:bookmarkStart w:id="41" w:name="X4136174829f77a6b58a78908300cb169d6563ec"/>
      <w:r>
        <w:rPr>
          <w:rStyle w:val="VerbatimChar"/>
        </w:rPr>
        <w:t xml:space="preserve">is_lahore</w:t>
      </w:r>
      <w:r>
        <w:t xml:space="preserve"> </w:t>
      </w:r>
      <w:r>
        <w:t xml:space="preserve">— Quick boolean: is this row from Lahore?</w:t>
      </w:r>
      <w:bookmarkEnd w:id="4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Boolean (TRUE / FALSE)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Derived from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district_id = '40'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 it exists</w:t>
            </w:r>
          </w:p>
        </w:tc>
        <w:tc>
          <w:p>
            <w:pPr>
              <w:pStyle w:val="Compact"/>
              <w:jc w:val="left"/>
            </w:pPr>
            <w:r>
              <w:t xml:space="preserve">Lahore is the focal city of the project. Having a boolean makes filtering trivially fast.</w:t>
            </w:r>
          </w:p>
        </w:tc>
      </w:tr>
    </w:tbl>
    <w:p>
      <w:pPr>
        <w:pStyle w:val="Heading2"/>
      </w:pPr>
      <w:bookmarkStart w:id="42" w:name="case-nature-taxonomy-3"/>
      <w:r>
        <w:t xml:space="preserve">2.4 Case-nature taxonomy (3)</w:t>
      </w:r>
      <w:bookmarkEnd w:id="42"/>
    </w:p>
    <w:p>
      <w:pPr>
        <w:pStyle w:val="FirstParagraph"/>
      </w:pPr>
      <w:r>
        <w:t xml:space="preserve">What kind of case is this?</w:t>
      </w:r>
    </w:p>
    <w:p>
      <w:pPr>
        <w:pStyle w:val="BodyText"/>
      </w:pPr>
      <w:r>
        <w:t xml:space="preserve">PSCA’s case-nature hierarchy has 3 levels — broad to specific.</w:t>
      </w:r>
    </w:p>
    <w:p>
      <w:pPr>
        <w:pStyle w:val="Heading3"/>
      </w:pPr>
      <w:bookmarkStart w:id="43" w:name="category_lvl1-top-level-category"/>
      <w:r>
        <w:rPr>
          <w:rStyle w:val="VerbatimChar"/>
        </w:rPr>
        <w:t xml:space="preserve">&lt;category_lvl1&gt;</w:t>
      </w:r>
      <w:r>
        <w:t xml:space="preserve"> </w:t>
      </w:r>
      <w:r>
        <w:t xml:space="preserve">— Top-level category</w:t>
      </w:r>
      <w:bookmarkEnd w:id="4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Crime Against 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Crime Against Property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Law &amp; 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 Help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A handful of high-level buckets, ~12 distinct values.</w:t>
            </w:r>
          </w:p>
        </w:tc>
      </w:tr>
    </w:tbl>
    <w:p>
      <w:pPr>
        <w:pStyle w:val="Heading3"/>
      </w:pPr>
      <w:bookmarkStart w:id="44" w:name="category_lvl2-mid-level-category"/>
      <w:r>
        <w:rPr>
          <w:rStyle w:val="VerbatimChar"/>
        </w:rPr>
        <w:t xml:space="preserve">&lt;category_lvl2&gt;</w:t>
      </w:r>
      <w:r>
        <w:t xml:space="preserve"> </w:t>
      </w:r>
      <w:r>
        <w:t xml:space="preserve">— Mid-level category</w:t>
      </w:r>
      <w:bookmarkEnd w:id="4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Most relevant example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Religious Offences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 examples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Robbery/Snatching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 Disorder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Roughly 40 distinct values.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Religious Offences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is the critical one for this project.</w:t>
            </w:r>
          </w:p>
        </w:tc>
      </w:tr>
    </w:tbl>
    <w:p>
      <w:pPr>
        <w:pStyle w:val="Heading3"/>
      </w:pPr>
      <w:bookmarkStart w:id="45" w:name="category_lvl3-most-specific-category"/>
      <w:r>
        <w:rPr>
          <w:rStyle w:val="VerbatimChar"/>
        </w:rPr>
        <w:t xml:space="preserve">&lt;category_lvl3&gt;</w:t>
      </w:r>
      <w:r>
        <w:t xml:space="preserve"> </w:t>
      </w:r>
      <w:r>
        <w:t xml:space="preserve">— Most specific category</w:t>
      </w:r>
      <w:bookmarkEnd w:id="4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 (under Religious Offences)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 Other Religious Issue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Defiling of Holy 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Derogation of Holy Persons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Distribution / Display of hateful sectarian material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Hate Speech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Attack/Damage of Religious Places (Church/Mosque/Gurdwara/Mundar/Imambargah/Mazzar)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~150 distinct values. The 6 listed above are all the Level-3 sub-categories of</w:t>
            </w:r>
            <w:r>
              <w:t xml:space="preserve"> </w:t>
            </w:r>
            <w:r>
              <w:t xml:space="preserve">“</w:t>
            </w:r>
            <w:r>
              <w:t xml:space="preserve">Religious Offences</w:t>
            </w:r>
            <w:r>
              <w:t xml:space="preserve">”</w:t>
            </w:r>
            <w:r>
              <w:t xml:space="preserve">.</w:t>
            </w:r>
          </w:p>
        </w:tc>
      </w:tr>
    </w:tbl>
    <w:p>
      <w:pPr>
        <w:pStyle w:val="Heading2"/>
      </w:pPr>
      <w:bookmarkStart w:id="46" w:name="free-text-derived-signals-5"/>
      <w:r>
        <w:t xml:space="preserve">2.5 Free text + derived signals (5)</w:t>
      </w:r>
      <w:bookmarkEnd w:id="46"/>
    </w:p>
    <w:p>
      <w:pPr>
        <w:pStyle w:val="FirstParagraph"/>
      </w:pPr>
      <w:r>
        <w:t xml:space="preserve">The caller’s verbatim words and the things we extracted from them.</w:t>
      </w:r>
    </w:p>
    <w:p>
      <w:pPr>
        <w:pStyle w:val="Heading3"/>
      </w:pPr>
      <w:bookmarkStart w:id="47" w:name="description-callers-verbatim-words"/>
      <w:r>
        <w:rPr>
          <w:rStyle w:val="VerbatimChar"/>
        </w:rPr>
        <w:t xml:space="preserve">description</w:t>
      </w:r>
      <w:r>
        <w:t xml:space="preserve"> </w:t>
      </w:r>
      <w:r>
        <w:t xml:space="preserve">— Caller’s verbatim words</w:t>
      </w:r>
      <w:bookmarkEnd w:id="4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 (up to 2000 characters)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"caller reported some persons broke the Christmas decorations need help"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p>
            <w:pPr>
              <w:pStyle w:val="Compact"/>
              <w:jc w:val="left"/>
            </w:pPr>
            <w:r>
              <w:t xml:space="preserve">The operator’s verbatim transcription of what the caller said. Often a mix of English, Urdu (transliterated), and operational shorthand.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warning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Contains phone numbers, addresses, individual names, CNIC numbers, and call-center metadata.</w:t>
            </w:r>
            <w:r>
              <w:t xml:space="preserve"> </w:t>
            </w:r>
            <w:r>
              <w:t xml:space="preserve">It is auto-redacted before reaching any dashboard, but the raw column in this table is</w:t>
            </w:r>
            <w:r>
              <w:t xml:space="preserve"> </w:t>
            </w:r>
            <w:r>
              <w:rPr>
                <w:b/>
              </w:rPr>
              <w:t xml:space="preserve">the original unredacted text</w:t>
            </w:r>
            <w:r>
              <w:t xml:space="preserve">. Do not share publicly.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What’s done with it</w:t>
            </w:r>
          </w:p>
        </w:tc>
        <w:tc>
          <w:p>
            <w:pPr>
              <w:pStyle w:val="Compact"/>
              <w:jc w:val="left"/>
            </w:pPr>
            <w:r>
              <w:t xml:space="preserve">The system extracts community keywords from this field to derive</w:t>
            </w:r>
            <w:r>
              <w:t xml:space="preserve"> </w:t>
            </w:r>
            <w:r>
              <w:rPr>
                <w:rStyle w:val="VerbatimChar"/>
              </w:rPr>
              <w:t xml:space="preserve">minority_community</w:t>
            </w:r>
            <w:r>
              <w:t xml:space="preserve">. The dashboard displays a redacted preview (and only when explicitly toggled on).</w:t>
            </w:r>
          </w:p>
        </w:tc>
      </w:tr>
    </w:tbl>
    <w:p>
      <w:pPr>
        <w:pStyle w:val="Heading3"/>
      </w:pPr>
      <w:bookmarkStart w:id="48" w:name="match_source-how-did-this-row-qualify"/>
      <w:r>
        <w:rPr>
          <w:rStyle w:val="VerbatimChar"/>
        </w:rPr>
        <w:t xml:space="preserve">match_source</w:t>
      </w:r>
      <w:r>
        <w:t xml:space="preserve"> </w:t>
      </w:r>
      <w:r>
        <w:t xml:space="preserve">— How did this row qualify?</w:t>
      </w:r>
      <w:bookmarkEnd w:id="4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 (enum)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Possible values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religious_offence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desc_keyword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p>
            <w:pPr>
              <w:pStyle w:val="Compact"/>
              <w:jc w:val="left"/>
            </w:pPr>
            <w:r>
              <w:t xml:space="preserve">Tells you</w:t>
            </w:r>
            <w:r>
              <w:t xml:space="preserve"> </w:t>
            </w:r>
            <w:r>
              <w:rPr>
                <w:i/>
              </w:rPr>
              <w:t xml:space="preserve">which</w:t>
            </w:r>
            <w:r>
              <w:t xml:space="preserve"> </w:t>
            </w:r>
            <w:r>
              <w:t xml:space="preserve">of the two filter clauses this row satisfied.</w:t>
            </w:r>
            <w:r>
              <w:t xml:space="preserve"> </w:t>
            </w:r>
            <w:r>
              <w:rPr>
                <w:rStyle w:val="VerbatimChar"/>
              </w:rPr>
              <w:t xml:space="preserve">religious_offence</w:t>
            </w:r>
            <w:r>
              <w:t xml:space="preserve"> </w:t>
            </w:r>
            <w:r>
              <w:t xml:space="preserve">= formally tagged.</w:t>
            </w:r>
            <w:r>
              <w:t xml:space="preserve"> </w:t>
            </w:r>
            <w:r>
              <w:rPr>
                <w:rStyle w:val="VerbatimChar"/>
              </w:rPr>
              <w:t xml:space="preserve">desc_keyword</w:t>
            </w:r>
            <w:r>
              <w:t xml:space="preserve"> </w:t>
            </w:r>
            <w:r>
              <w:t xml:space="preserve">= caught only by description text.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  <w:r>
              <w:t xml:space="preserve"> </w:t>
            </w:r>
            <w:r>
              <w:t xml:space="preserve">= both — the highest-confidence subset.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p>
            <w:pPr>
              <w:pStyle w:val="Compact"/>
              <w:jc w:val="left"/>
            </w:pPr>
            <w:r>
              <w:t xml:space="preserve">religious_offence: 2,463 (60%) · desc_keyword: 1,312 (32%) · both: 335 (8%)</w:t>
            </w:r>
          </w:p>
        </w:tc>
      </w:tr>
    </w:tbl>
    <w:p>
      <w:pPr>
        <w:pStyle w:val="Heading3"/>
      </w:pPr>
      <w:bookmarkStart w:id="49" w:name="Xf16b695ca109de1699a756e6f636b9d00d1c527"/>
      <w:r>
        <w:rPr>
          <w:rStyle w:val="VerbatimChar"/>
        </w:rPr>
        <w:t xml:space="preserve">matched_keywords</w:t>
      </w:r>
      <w:r>
        <w:t xml:space="preserve"> </w:t>
      </w:r>
      <w:r>
        <w:t xml:space="preserve">— Which words triggered the keyword filter</w:t>
      </w:r>
      <w:bookmarkEnd w:id="4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{christian, blasphemy}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p>
            <w:pPr>
              <w:pStyle w:val="Compact"/>
              <w:jc w:val="left"/>
            </w:pPr>
            <w:r>
              <w:t xml:space="preserve">Every minority-community or blasphemy-related word the regex found in the description.</w:t>
            </w:r>
          </w:p>
        </w:tc>
      </w:tr>
    </w:tbl>
    <w:p>
      <w:pPr>
        <w:pStyle w:val="Heading3"/>
      </w:pPr>
      <w:bookmarkStart w:id="50" w:name="minority_community-inferred-community"/>
      <w:r>
        <w:rPr>
          <w:rStyle w:val="VerbatimChar"/>
        </w:rPr>
        <w:t xml:space="preserve">minority_community</w:t>
      </w:r>
      <w:r>
        <w:t xml:space="preserve"> </w:t>
      </w:r>
      <w:r>
        <w:t xml:space="preserve">— Inferred community</w:t>
      </w:r>
      <w:bookmarkEnd w:id="5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 (enum)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Possible values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christian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ahmadi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hindu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sikh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unspecified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p>
            <w:pPr>
              <w:pStyle w:val="Compact"/>
              <w:jc w:val="left"/>
            </w:pPr>
            <w:r>
              <w:t xml:space="preserve">unspecified: 2,530 · christian: 1,305 · ahmadi: 166 · hindu: 58 · sikh: 47 · multiple: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How it’s inferred</w:t>
            </w:r>
          </w:p>
        </w:tc>
        <w:tc>
          <w:p>
            <w:pPr>
              <w:pStyle w:val="Compact"/>
              <w:jc w:val="left"/>
            </w:pPr>
            <w:r>
              <w:t xml:space="preserve">A case-insensitive regex over the description.</w:t>
            </w:r>
            <w:r>
              <w:t xml:space="preserve"> </w:t>
            </w:r>
            <w:r>
              <w:rPr>
                <w:rStyle w:val="VerbatimChar"/>
              </w:rPr>
              <w:t xml:space="preserve">christian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t xml:space="preserve">“</w:t>
            </w:r>
            <w:r>
              <w:t xml:space="preserve">christian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christians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church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pastor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masihi</w:t>
            </w:r>
            <w:r>
              <w:t xml:space="preserve">”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ahmadi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t xml:space="preserve">“</w:t>
            </w:r>
            <w:r>
              <w:t xml:space="preserve">ahmadi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qadiani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ahmedi</w:t>
            </w:r>
            <w:r>
              <w:t xml:space="preserve">”</w:t>
            </w:r>
            <w:r>
              <w:t xml:space="preserve">. And so 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unspecified</w:t>
            </w:r>
            <w:r>
              <w:t xml:space="preserve"> </w:t>
            </w: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The description doesn’t name a community. It doesn’t mean the case is</w:t>
            </w:r>
            <w:r>
              <w:t xml:space="preserve"> </w:t>
            </w:r>
            <w:r>
              <w:rPr>
                <w:i/>
              </w:rPr>
              <w:t xml:space="preserve">not</w:t>
            </w:r>
            <w:r>
              <w:t xml:space="preserve"> </w:t>
            </w:r>
            <w:r>
              <w:t xml:space="preserve">minority-related — it might just not say the community out loud.</w:t>
            </w:r>
          </w:p>
        </w:tc>
      </w:tr>
    </w:tbl>
    <w:p>
      <w:pPr>
        <w:pStyle w:val="Heading3"/>
      </w:pPr>
      <w:bookmarkStart w:id="51" w:name="is_minority_targeted-the-strict-label"/>
      <w:r>
        <w:rPr>
          <w:rStyle w:val="VerbatimChar"/>
        </w:rPr>
        <w:t xml:space="preserve">is_minority_targeted</w:t>
      </w:r>
      <w:r>
        <w:t xml:space="preserve"> </w:t>
      </w:r>
      <w:r>
        <w:t xml:space="preserve">— The STRICT label</w:t>
      </w:r>
      <w:bookmarkEnd w:id="5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Boolean (TRUE / FALSE)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&lt;category_lvl2&gt; = 'Religious Offences' AND minority_community IN ('christian', 'ahmadi', 'hindu', 'sikh', 'multiple')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p>
            <w:pPr>
              <w:pStyle w:val="Compact"/>
              <w:jc w:val="left"/>
            </w:pPr>
            <w:r>
              <w:t xml:space="preserve">TRUE: 312 (7.6%) · FALSE: 3,798 (92.4%)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is the target the prediction models learn from.</w:t>
            </w:r>
            <w:r>
              <w:t xml:space="preserve"> </w:t>
            </w:r>
            <w:r>
              <w:t xml:space="preserve">It’s the high-confidence</w:t>
            </w:r>
            <w:r>
              <w:t xml:space="preserve"> </w:t>
            </w:r>
            <w:r>
              <w:t xml:space="preserve">“</w:t>
            </w:r>
            <w:r>
              <w:t xml:space="preserve">yes, this is minority-targeted</w:t>
            </w:r>
            <w:r>
              <w:t xml:space="preserve">”</w:t>
            </w:r>
            <w:r>
              <w:t xml:space="preserve"> </w:t>
            </w:r>
            <w:r>
              <w:t xml:space="preserve">subset.</w:t>
            </w:r>
          </w:p>
        </w:tc>
      </w:tr>
    </w:tbl>
    <w:p>
      <w:pPr>
        <w:pStyle w:val="Heading2"/>
      </w:pPr>
      <w:bookmarkStart w:id="52" w:name="metadata-1"/>
      <w:r>
        <w:t xml:space="preserve">2.6 Metadata (1)</w:t>
      </w:r>
      <w:bookmarkEnd w:id="52"/>
    </w:p>
    <w:p>
      <w:pPr>
        <w:pStyle w:val="Heading3"/>
      </w:pPr>
      <w:bookmarkStart w:id="53" w:name="loaded_at-when-this-row-was-loaded"/>
      <w:r>
        <w:rPr>
          <w:rStyle w:val="VerbatimChar"/>
        </w:rPr>
        <w:t xml:space="preserve">loaded_at</w:t>
      </w:r>
      <w:r>
        <w:t xml:space="preserve"> </w:t>
      </w:r>
      <w:r>
        <w:t xml:space="preserve">— When this row was loaded</w:t>
      </w:r>
      <w:bookmarkEnd w:id="5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2026-06-22 12:33:45.428463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p>
            <w:pPr>
              <w:pStyle w:val="Compact"/>
              <w:jc w:val="left"/>
            </w:pPr>
            <w:r>
              <w:t xml:space="preserve">When the build script populated this row. Useful for audit (</w:t>
            </w:r>
            <w:r>
              <w:t xml:space="preserve">“</w:t>
            </w:r>
            <w:r>
              <w:t xml:space="preserve">when did we last refresh?</w:t>
            </w:r>
            <w:r>
              <w:t xml:space="preserve">”</w:t>
            </w:r>
            <w:r>
              <w:t xml:space="preserve">).</w:t>
            </w:r>
          </w:p>
        </w:tc>
      </w:tr>
    </w:tbl>
    <w:p>
      <w:pPr>
        <w:pStyle w:val="Heading1"/>
      </w:pPr>
      <w:bookmarkStart w:id="54" w:name="the-district-level-severity-dataset"/>
      <w:r>
        <w:t xml:space="preserve">3. The District-Level Severity Dataset</w:t>
      </w:r>
      <w:bookmarkEnd w:id="54"/>
    </w:p>
    <w:p>
      <w:pPr>
        <w:pStyle w:val="FirstParagraph"/>
      </w:pPr>
      <w:r>
        <w:t xml:space="preserve">Alongside the case-level</w:t>
      </w:r>
      <w:r>
        <w:t xml:space="preserve"> </w:t>
      </w:r>
      <w:r>
        <w:rPr>
          <w:rStyle w:val="VerbatimChar"/>
        </w:rPr>
        <w:t xml:space="preserve">minority_incidents</w:t>
      </w:r>
      <w:r>
        <w:t xml:space="preserve"> </w:t>
      </w:r>
      <w:r>
        <w:t xml:space="preserve">table, the system</w:t>
      </w:r>
      <w:r>
        <w:t xml:space="preserve"> </w:t>
      </w:r>
      <w:r>
        <w:t xml:space="preserve">produces a smaller summary CSV:</w:t>
      </w:r>
      <w:r>
        <w:t xml:space="preserve"> </w:t>
      </w:r>
      <w:r>
        <w:rPr>
          <w:rStyle w:val="VerbatimChar"/>
        </w:rPr>
        <w:t xml:space="preserve">&lt;see project intermediate data&gt;</w:t>
      </w:r>
      <w:r>
        <w:t xml:space="preserve">.</w:t>
      </w:r>
      <w:r>
        <w:t xml:space="preserve"> </w:t>
      </w:r>
      <w:r>
        <w:t xml:space="preserve">This aggregates all 4,110 cases up to the district level and assigns</w:t>
      </w:r>
      <w:r>
        <w:t xml:space="preserve"> </w:t>
      </w:r>
      <w:r>
        <w:t xml:space="preserve">each district a severity rating.</w:t>
      </w:r>
    </w:p>
    <w:p>
      <w:pPr>
        <w:pStyle w:val="Heading2"/>
      </w:pPr>
      <w:bookmarkStart w:id="55" w:name="whats-in-it-1"/>
      <w:r>
        <w:t xml:space="preserve">3.1 What’s in it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Lahore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Faisalabad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Cases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Severity_level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Reporting Period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 Dataset (2024 → 2026 YTD)</w:t>
            </w:r>
          </w:p>
        </w:tc>
      </w:tr>
    </w:tbl>
    <w:p>
      <w:pPr>
        <w:pStyle w:val="Heading2"/>
      </w:pPr>
      <w:bookmarkStart w:id="56" w:name="how-severity-is-assigned"/>
      <w:r>
        <w:t xml:space="preserve">3.2 How severity is assigned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– 50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 – 150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151 – 300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300 +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p>
      <w:pPr>
        <w:pStyle w:val="BodyText"/>
      </w:pPr>
      <w:r>
        <w:t xml:space="preserve">These bands come from the original Research Design Report. We use</w:t>
      </w:r>
      <w:r>
        <w:t xml:space="preserve"> </w:t>
      </w:r>
      <w:r>
        <w:t xml:space="preserve">them unchanged for compatibility.</w:t>
      </w:r>
    </w:p>
    <w:p>
      <w:pPr>
        <w:pStyle w:val="Heading2"/>
      </w:pPr>
      <w:bookmarkStart w:id="57" w:name="what-it-shows"/>
      <w:r>
        <w:t xml:space="preserve">3.3 What it shows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Lahore</w:t>
            </w:r>
          </w:p>
        </w:tc>
        <w:tc>
          <w:p>
            <w:pPr>
              <w:pStyle w:val="Compact"/>
              <w:jc w:val="left"/>
            </w:pPr>
            <w:r>
              <w:t xml:space="preserve">928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Faisalabad</w:t>
            </w:r>
          </w:p>
        </w:tc>
        <w:tc>
          <w:p>
            <w:pPr>
              <w:pStyle w:val="Compact"/>
              <w:jc w:val="left"/>
            </w:pPr>
            <w:r>
              <w:t xml:space="preserve">381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Sheikhupura</w:t>
            </w:r>
          </w:p>
        </w:tc>
        <w:tc>
          <w:p>
            <w:pPr>
              <w:pStyle w:val="Compact"/>
              <w:jc w:val="left"/>
            </w:pPr>
            <w:r>
              <w:t xml:space="preserve">282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Sialkot</w:t>
            </w:r>
          </w:p>
        </w:tc>
        <w:tc>
          <w:p>
            <w:pPr>
              <w:pStyle w:val="Compact"/>
              <w:jc w:val="left"/>
            </w:pPr>
            <w:r>
              <w:t xml:space="preserve">258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Gujranwala</w:t>
            </w:r>
          </w:p>
        </w:tc>
        <w:tc>
          <w:p>
            <w:pPr>
              <w:pStyle w:val="Compact"/>
              <w:jc w:val="left"/>
            </w:pPr>
            <w:r>
              <w:t xml:space="preserve">233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Bahawalpur, Multan, Rahim Yar Khan…</w:t>
            </w:r>
          </w:p>
        </w:tc>
        <w:tc>
          <w:p>
            <w:pPr>
              <w:pStyle w:val="Compact"/>
              <w:jc w:val="left"/>
            </w:pPr>
            <w:r>
              <w:t xml:space="preserve">50–150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Smaller districts</w:t>
            </w:r>
          </w:p>
        </w:tc>
        <w:tc>
          <w:p>
            <w:pPr>
              <w:pStyle w:val="Compact"/>
              <w:jc w:val="left"/>
            </w:pPr>
            <w:r>
              <w:t xml:space="preserve">&lt; 50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Heading2"/>
      </w:pPr>
      <w:bookmarkStart w:id="58" w:name="caveat-about-the-severity-bands"/>
      <w:r>
        <w:t xml:space="preserve">3.4 Caveat about the severity bands</w:t>
      </w:r>
      <w:bookmarkEnd w:id="58"/>
    </w:p>
    <w:p>
      <w:pPr>
        <w:pStyle w:val="FirstParagraph"/>
      </w:pPr>
      <w:r>
        <w:t xml:space="preserve">These bands are</w:t>
      </w:r>
      <w:r>
        <w:t xml:space="preserve"> </w:t>
      </w:r>
      <w:r>
        <w:rPr>
          <w:b/>
        </w:rPr>
        <w:t xml:space="preserve">count-based</w:t>
      </w:r>
      <w:r>
        <w:t xml:space="preserve">, not intensity-based. A district with</w:t>
      </w:r>
      <w:r>
        <w:t xml:space="preserve"> </w:t>
      </w:r>
      <w:r>
        <w:t xml:space="preserve">194 minor public-disorder calls is rated the same severity as a</w:t>
      </w:r>
      <w:r>
        <w:t xml:space="preserve"> </w:t>
      </w:r>
      <w:r>
        <w:t xml:space="preserve">district with 194 mosque attacks — even though those are operationally</w:t>
      </w:r>
      <w:r>
        <w:t xml:space="preserve"> </w:t>
      </w:r>
      <w:r>
        <w:t xml:space="preserve">very different.</w:t>
      </w:r>
    </w:p>
    <w:p>
      <w:pPr>
        <w:pStyle w:val="BodyText"/>
      </w:pPr>
      <w:r>
        <w:t xml:space="preserve">The policy brief explicitly flags this as a recommendation for the</w:t>
      </w:r>
      <w:r>
        <w:t xml:space="preserve"> </w:t>
      </w:r>
      <w:r>
        <w:t xml:space="preserve">next version: split</w:t>
      </w:r>
      <w:r>
        <w:t xml:space="preserve"> </w:t>
      </w:r>
      <w:r>
        <w:t xml:space="preserve">“</w:t>
      </w:r>
      <w:r>
        <w:t xml:space="preserve">volume severity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intensity severity</w:t>
      </w:r>
      <w:r>
        <w:t xml:space="preserve">”</w:t>
      </w:r>
      <w:r>
        <w:t xml:space="preserve">.</w:t>
      </w:r>
    </w:p>
    <w:p>
      <w:pPr>
        <w:pStyle w:val="Heading1"/>
      </w:pPr>
      <w:bookmarkStart w:id="59" w:name="six-more-tables-derived-from-this-one"/>
      <w:r>
        <w:t xml:space="preserve">4. Six More Tables Derived From This One</w:t>
      </w:r>
      <w:bookmarkEnd w:id="59"/>
    </w:p>
    <w:p>
      <w:pPr>
        <w:pStyle w:val="FirstParagraph"/>
      </w:pPr>
      <w:r>
        <w:t xml:space="preserve">The case-level</w:t>
      </w:r>
      <w:r>
        <w:t xml:space="preserve"> </w:t>
      </w:r>
      <w:r>
        <w:rPr>
          <w:rStyle w:val="VerbatimChar"/>
        </w:rPr>
        <w:t xml:space="preserve">minority_incidents</w:t>
      </w:r>
      <w:r>
        <w:t xml:space="preserve"> </w:t>
      </w:r>
      <w:r>
        <w:t xml:space="preserve">table is the foundation. Six</w:t>
      </w:r>
      <w:r>
        <w:t xml:space="preserve"> </w:t>
      </w:r>
      <w:r>
        <w:t xml:space="preserve">feature tables, one per predictor family, are derived from it (and</w:t>
      </w:r>
      <w:r>
        <w:t xml:space="preserve"> </w:t>
      </w:r>
      <w:r>
        <w:t xml:space="preserve">from external calendars):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adds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minority_features_prior_density</w:t>
            </w:r>
          </w:p>
        </w:tc>
        <w:tc>
          <w:p>
            <w:pPr>
              <w:pStyle w:val="Compact"/>
              <w:jc w:val="left"/>
            </w:pPr>
            <w:r>
              <w:t xml:space="preserve">4,110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Rolling case counts at PS and district 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minority_features_religious_calendar</w:t>
            </w:r>
          </w:p>
        </w:tc>
        <w:tc>
          <w:p>
            <w:pPr>
              <w:pStyle w:val="Compact"/>
              <w:jc w:val="left"/>
            </w:pPr>
            <w:r>
              <w:t xml:space="preserve">4,110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Days to / since major religious events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minority_features_political_calendar</w:t>
            </w:r>
          </w:p>
        </w:tc>
        <w:tc>
          <w:p>
            <w:pPr>
              <w:pStyle w:val="Compact"/>
              <w:jc w:val="left"/>
            </w:pPr>
            <w:r>
              <w:t xml:space="preserve">4,110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Political event proximity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minority_features_misinformation</w:t>
            </w:r>
          </w:p>
        </w:tc>
        <w:tc>
          <w:p>
            <w:pPr>
              <w:pStyle w:val="Compact"/>
              <w:jc w:val="left"/>
            </w:pPr>
            <w:r>
              <w:t xml:space="preserve">4,110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Misinformation event flags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minority_features_responsiveness</w:t>
            </w:r>
          </w:p>
        </w:tc>
        <w:tc>
          <w:p>
            <w:pPr>
              <w:pStyle w:val="Compact"/>
              <w:jc w:val="left"/>
            </w:pPr>
            <w:r>
              <w:t xml:space="preserve">4,110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Local PS response-time baseline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minority_features_sentiment</w:t>
            </w:r>
          </w:p>
        </w:tc>
        <w:tc>
          <w:p>
            <w:pPr>
              <w:pStyle w:val="Compact"/>
              <w:jc w:val="left"/>
            </w:pPr>
            <w:r>
              <w:t xml:space="preserve">4,110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Placeholder (all NULL until a feed is connected)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minority_features_merged</w:t>
            </w:r>
          </w:p>
        </w:tc>
        <w:tc>
          <w:p>
            <w:pPr>
              <w:pStyle w:val="Compact"/>
              <w:jc w:val="left"/>
            </w:pPr>
            <w:r>
              <w:t xml:space="preserve">4,110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62</w:t>
            </w:r>
          </w:p>
        </w:tc>
        <w:tc>
          <w:p>
            <w:pPr>
              <w:pStyle w:val="Compact"/>
              <w:jc w:val="left"/>
            </w:pPr>
            <w:r>
              <w:t xml:space="preserve">All six joined together — what the models train on</w:t>
            </w:r>
          </w:p>
        </w:tc>
      </w:tr>
    </w:tbl>
    <w:p>
      <w:pPr>
        <w:pStyle w:val="BodyText"/>
      </w:pPr>
      <w:r>
        <w:t xml:space="preserve">Each feature table has its own schema file (</w:t>
      </w:r>
      <w:r>
        <w:rPr>
          <w:rStyle w:val="VerbatimChar"/>
        </w:rPr>
        <w:t xml:space="preserve">code_reference/features/schema_*.sql</w:t>
      </w:r>
      <w:r>
        <w:t xml:space="preserve">)</w:t>
      </w:r>
      <w:r>
        <w:t xml:space="preserve"> </w:t>
      </w:r>
      <w:r>
        <w:t xml:space="preserve">and its own builder script (</w:t>
      </w:r>
      <w:r>
        <w:rPr>
          <w:rStyle w:val="VerbatimChar"/>
        </w:rPr>
        <w:t xml:space="preserve">code_reference/features/*.py</w:t>
      </w:r>
      <w:r>
        <w:t xml:space="preserve">).</w:t>
      </w:r>
    </w:p>
    <w:p>
      <w:pPr>
        <w:pStyle w:val="Heading1"/>
      </w:pPr>
      <w:bookmarkStart w:id="60" w:name="two-more-tables-for-predictions"/>
      <w:r>
        <w:t xml:space="preserve">5. Two More Tables For Predictions</w:t>
      </w:r>
      <w:bookmarkEnd w:id="6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stores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minority_predictions</w:t>
            </w:r>
          </w:p>
        </w:tc>
        <w:tc>
          <w:p>
            <w:pPr>
              <w:pStyle w:val="Compact"/>
              <w:jc w:val="left"/>
            </w:pPr>
            <w:r>
              <w:t xml:space="preserve">4,110</w:t>
            </w:r>
          </w:p>
        </w:tc>
        <w:tc>
          <w:p>
            <w:pPr>
              <w:pStyle w:val="Compact"/>
              <w:jc w:val="left"/>
            </w:pPr>
            <w:r>
              <w:t xml:space="preserve">LR and RF model scores for every case in</w:t>
            </w:r>
            <w:r>
              <w:t xml:space="preserve"> </w:t>
            </w:r>
            <w:r>
              <w:rPr>
                <w:rStyle w:val="VerbatimChar"/>
              </w:rPr>
              <w:t xml:space="preserve">minority_incidents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minority_psweek_train</w:t>
            </w:r>
          </w:p>
        </w:tc>
        <w:tc>
          <w:p>
            <w:pPr>
              <w:pStyle w:val="Compact"/>
              <w:jc w:val="left"/>
            </w:pPr>
            <w:r>
              <w:t xml:space="preserve">82,000</w:t>
            </w:r>
          </w:p>
        </w:tc>
        <w:tc>
          <w:p>
            <w:pPr>
              <w:pStyle w:val="Compact"/>
              <w:jc w:val="left"/>
            </w:pPr>
            <w:r>
              <w:t xml:space="preserve">Training data for the PS-week forecaster: one row per (police station × week) for 2024-2026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minority_psweek_forward</w:t>
            </w:r>
          </w:p>
        </w:tc>
        <w:tc>
          <w:p>
            <w:pPr>
              <w:pStyle w:val="Compact"/>
              <w:jc w:val="left"/>
            </w:pPr>
            <w:r>
              <w:t xml:space="preserve">656</w:t>
            </w:r>
          </w:p>
        </w:tc>
        <w:tc>
          <w:p>
            <w:pPr>
              <w:pStyle w:val="Compact"/>
              <w:jc w:val="left"/>
            </w:pPr>
            <w:r>
              <w:t xml:space="preserve">Current forward prediction for every PS — risk of an incident in the next 30 days</w:t>
            </w:r>
          </w:p>
        </w:tc>
      </w:tr>
    </w:tbl>
    <w:p>
      <w:pPr>
        <w:pStyle w:val="Heading1"/>
      </w:pPr>
      <w:bookmarkStart w:id="61" w:name="known-data-quality-issues"/>
      <w:r>
        <w:t xml:space="preserve">6. Known Data-Quality Issues</w:t>
      </w:r>
      <w:bookmarkEnd w:id="61"/>
    </w:p>
    <w:p>
      <w:pPr>
        <w:pStyle w:val="FirstParagraph"/>
      </w:pPr>
      <w:r>
        <w:t xml:space="preserve">We catalog these honestly:</w:t>
      </w:r>
    </w:p>
    <w:p>
      <w:pPr>
        <w:numPr>
          <w:ilvl w:val="0"/>
          <w:numId w:val="1002"/>
        </w:numPr>
      </w:pPr>
      <w:r>
        <w:rPr>
          <w:b/>
        </w:rPr>
        <w:t xml:space="preserve">The descriptions are operational, not analytical.</w:t>
      </w:r>
      <w:r>
        <w:t xml:space="preserve"> </w:t>
      </w:r>
      <w:r>
        <w:t xml:space="preserve">They mix</w:t>
      </w:r>
      <w:r>
        <w:t xml:space="preserve"> </w:t>
      </w:r>
      <w:r>
        <w:t xml:space="preserve">English, Urdu, Roman Urdu, and operator shorthand. Spelling is</w:t>
      </w:r>
      <w:r>
        <w:t xml:space="preserve"> </w:t>
      </w:r>
      <w:r>
        <w:t xml:space="preserve">inconsistent. The keyword extractor catches the obvious patterns</w:t>
      </w:r>
      <w:r>
        <w:t xml:space="preserve"> </w:t>
      </w:r>
      <w:r>
        <w:t xml:space="preserve">but will miss creative spellings.</w:t>
      </w:r>
    </w:p>
    <w:p>
      <w:pPr>
        <w:numPr>
          <w:ilvl w:val="0"/>
          <w:numId w:val="1002"/>
        </w:numPr>
      </w:pPr>
      <w:r>
        <w:rPr>
          <w:b/>
        </w:rPr>
        <w:t xml:space="preserve">“</w:t>
      </w:r>
      <w:r>
        <w:rPr>
          <w:b/>
        </w:rPr>
        <w:t xml:space="preserve">Unspecified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doesn’t equal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not minority-related</w:t>
      </w:r>
      <w:r>
        <w:rPr>
          <w:b/>
        </w:rPr>
        <w:t xml:space="preserve">”</w:t>
      </w:r>
      <w:r>
        <w:rPr>
          <w:b/>
        </w:rPr>
        <w:t xml:space="preserve">.</w:t>
      </w:r>
      <w:r>
        <w:t xml:space="preserve"> </w:t>
      </w:r>
      <w:r>
        <w:t xml:space="preserve">Many cases</w:t>
      </w:r>
      <w:r>
        <w:t xml:space="preserve"> </w:t>
      </w:r>
      <w:r>
        <w:t xml:space="preserve">have a generic description without a community name — the operator</w:t>
      </w:r>
      <w:r>
        <w:t xml:space="preserve"> </w:t>
      </w:r>
      <w:r>
        <w:t xml:space="preserve">was busy, the caller didn’t say, or they used</w:t>
      </w:r>
      <w:r>
        <w:t xml:space="preserve"> </w:t>
      </w:r>
      <w:r>
        <w:t xml:space="preserve">“</w:t>
      </w:r>
      <w:r>
        <w:t xml:space="preserve">they/those people</w:t>
      </w:r>
      <w:r>
        <w:t xml:space="preserve">”</w:t>
      </w:r>
      <w:r>
        <w:t xml:space="preserve"> </w:t>
      </w:r>
      <w:r>
        <w:t xml:space="preserve">instead of naming a community. These cases are still in the table.</w:t>
      </w:r>
    </w:p>
    <w:p>
      <w:pPr>
        <w:numPr>
          <w:ilvl w:val="0"/>
          <w:numId w:val="1002"/>
        </w:numPr>
      </w:pPr>
      <w:r>
        <w:rPr>
          <w:b/>
        </w:rPr>
        <w:t xml:space="preserve">About 20% of rows have NULL or invalid lat/long.</w:t>
      </w:r>
      <w:r>
        <w:t xml:space="preserve"> </w:t>
      </w:r>
      <w:r>
        <w:t xml:space="preserve">These are kept</w:t>
      </w:r>
      <w:r>
        <w:t xml:space="preserve"> </w:t>
      </w:r>
      <w:r>
        <w:t xml:space="preserve">in the count tables but excluded from the map.</w:t>
      </w:r>
    </w:p>
    <w:p>
      <w:pPr>
        <w:numPr>
          <w:ilvl w:val="0"/>
          <w:numId w:val="1002"/>
        </w:numPr>
      </w:pPr>
      <w:r>
        <w:rPr>
          <w:b/>
        </w:rPr>
        <w:t xml:space="preserve">Some older lat/longs are police-station centroids, not incident</w:t>
      </w:r>
      <w:r>
        <w:rPr>
          <w:b/>
        </w:rPr>
        <w:t xml:space="preserve"> </w:t>
      </w:r>
      <w:r>
        <w:rPr>
          <w:b/>
        </w:rPr>
        <w:t xml:space="preserve">locations.</w:t>
      </w:r>
      <w:r>
        <w:t xml:space="preserve"> </w:t>
      </w:r>
      <w:r>
        <w:t xml:space="preserve">This is a known upstream issue in</w:t>
      </w:r>
      <w:r>
        <w:t xml:space="preserve"> </w:t>
      </w:r>
      <w:r>
        <w:rPr>
          <w:rStyle w:val="VerbatimChar"/>
        </w:rPr>
        <w:t xml:space="preserve">&lt;source_call_log_table&gt;</w:t>
      </w:r>
      <w:r>
        <w:t xml:space="preserve">.</w:t>
      </w:r>
      <w:r>
        <w:t xml:space="preserve"> </w:t>
      </w:r>
      <w:r>
        <w:t xml:space="preserve">Recent rows (2025-onwards) have better GPS data.</w:t>
      </w:r>
    </w:p>
    <w:p>
      <w:pPr>
        <w:numPr>
          <w:ilvl w:val="0"/>
          <w:numId w:val="1002"/>
        </w:numPr>
      </w:pPr>
      <w:r>
        <w:rPr>
          <w:b/>
        </w:rPr>
        <w:t xml:space="preserve">24 rows had coordinates outside Pakistan entirely</w:t>
      </w:r>
      <w:r>
        <w:t xml:space="preserve"> </w:t>
      </w:r>
      <w:r>
        <w:t xml:space="preserve">(data-entry</w:t>
      </w:r>
      <w:r>
        <w:t xml:space="preserve"> </w:t>
      </w:r>
      <w:r>
        <w:t xml:space="preserve">errors — swapped lat/long, zero coords, etc.). These are filtered</w:t>
      </w:r>
      <w:r>
        <w:t xml:space="preserve"> </w:t>
      </w:r>
      <w:r>
        <w:t xml:space="preserve">out at the dashboard layer.</w:t>
      </w:r>
    </w:p>
    <w:p>
      <w:pPr>
        <w:numPr>
          <w:ilvl w:val="0"/>
          <w:numId w:val="1002"/>
        </w:numPr>
      </w:pPr>
      <w:r>
        <w:rPr>
          <w:b/>
        </w:rPr>
        <w:t xml:space="preserve">Reporting bias is irreducible.</w:t>
      </w:r>
      <w:r>
        <w:t xml:space="preserve"> </w:t>
      </w:r>
      <w:r>
        <w:t xml:space="preserve">A community that under-reports</w:t>
      </w:r>
      <w:r>
        <w:t xml:space="preserve"> </w:t>
      </w:r>
      <w:r>
        <w:t xml:space="preserve">will be under-represented in this dataset. We say this loudly</w:t>
      </w:r>
      <w:r>
        <w:t xml:space="preserve"> </w:t>
      </w:r>
      <w:r>
        <w:t xml:space="preserve">throughout the documentation.</w:t>
      </w:r>
    </w:p>
    <w:p>
      <w:pPr>
        <w:pStyle w:val="Heading1"/>
      </w:pPr>
      <w:bookmarkStart w:id="62" w:name="how-to-refresh-this-table"/>
      <w:r>
        <w:t xml:space="preserve">7. How to Refresh This Table</w:t>
      </w:r>
      <w:bookmarkEnd w:id="62"/>
    </w:p>
    <w:p>
      <w:pPr>
        <w:pStyle w:val="FirstParagraph"/>
      </w:pPr>
      <w:r>
        <w:t xml:space="preserve">To re-pull the latest data from the source</w:t>
      </w:r>
      <w:r>
        <w:t xml:space="preserve"> </w:t>
      </w:r>
      <w:r>
        <w:rPr>
          <w:rStyle w:val="VerbatimChar"/>
        </w:rPr>
        <w:t xml:space="preserve">&lt;source_call_log_table&gt;</w:t>
      </w:r>
      <w:r>
        <w:t xml:space="preserve"> </w:t>
      </w:r>
      <w:r>
        <w:t xml:space="preserve">table: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minorities_project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code_reference/data/build_minority_incidents.py</w:t>
      </w:r>
    </w:p>
    <w:p>
      <w:pPr>
        <w:pStyle w:val="FirstParagraph"/>
      </w:pPr>
      <w:r>
        <w:t xml:space="preserve">The script drops and recreates the table from scratch. It is</w:t>
      </w:r>
      <w:r>
        <w:t xml:space="preserve"> </w:t>
      </w:r>
      <w:r>
        <w:rPr>
          <w:b/>
        </w:rPr>
        <w:t xml:space="preserve">idempotent</w:t>
      </w:r>
      <w:r>
        <w:t xml:space="preserve"> </w:t>
      </w:r>
      <w:r>
        <w:t xml:space="preserve">— running it twice in a row produces the same table.</w:t>
      </w:r>
    </w:p>
    <w:p>
      <w:pPr>
        <w:pStyle w:val="BodyText"/>
      </w:pPr>
      <w:r>
        <w:t xml:space="preserve">To export the latest version to CSV (for the portable bundle):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code_reference/data/export_snapshot.py</w:t>
      </w:r>
    </w:p>
    <w:p>
      <w:pPr>
        <w:pStyle w:val="Heading1"/>
      </w:pPr>
      <w:bookmarkStart w:id="63" w:name="how-to-query-it-yourself"/>
      <w:r>
        <w:t xml:space="preserve">8. How to Query It Yourself</w:t>
      </w:r>
      <w:bookmarkEnd w:id="63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psql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\c db_predictive_policing</w:t>
      </w:r>
      <w:r>
        <w:br/>
      </w:r>
      <w:r>
        <w:br/>
      </w:r>
      <w:r>
        <w:rPr>
          <w:rStyle w:val="CommentTok"/>
        </w:rPr>
        <w:t xml:space="preserve">-- All Lahore strict-targeted cases this year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 incident_date, police_station, minority_community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minority_incidents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is_lahore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is_minority_targeted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incident_year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incident_date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Top 10 police stations by case count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police_station,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minority_incidents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is_lahore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police_station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Community breakdown for the strict-label set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minority_community,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minority_incidents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is_minority_targeted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minority_community;</w:t>
      </w:r>
    </w:p>
    <w:p>
      <w:pPr>
        <w:pStyle w:val="FirstParagraph"/>
      </w:pPr>
      <w:r>
        <w:t xml:space="preserve">In Python: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'&lt;see project CSV exports&gt;'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parse_dates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'incident_date'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df_lahore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'is_lahore'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(df_lahore[</w:t>
      </w:r>
      <w:r>
        <w:rPr>
          <w:rStyle w:val="StringTok"/>
        </w:rPr>
        <w:t xml:space="preserve">'minority_community'</w:t>
      </w:r>
      <w:r>
        <w:rPr>
          <w:rStyle w:val="NormalTok"/>
        </w:rPr>
        <w:t xml:space="preserve">].value_counts())</w:t>
      </w:r>
    </w:p>
    <w:p>
      <w:pPr>
        <w:pStyle w:val="Heading1"/>
      </w:pPr>
      <w:bookmarkStart w:id="64" w:name="references"/>
      <w:r>
        <w:t xml:space="preserve">9. References</w:t>
      </w:r>
      <w:bookmarkEnd w:id="6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Builder script:</w:t>
      </w:r>
      <w:r>
        <w:t xml:space="preserve"> </w:t>
      </w:r>
      <w:r>
        <w:rPr>
          <w:rStyle w:val="VerbatimChar"/>
        </w:rPr>
        <w:t xml:space="preserve">code_reference/data/build_minority_incidents.py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DDL (table schema):</w:t>
      </w:r>
      <w:r>
        <w:t xml:space="preserve"> </w:t>
      </w:r>
      <w:r>
        <w:rPr>
          <w:rStyle w:val="VerbatimChar"/>
        </w:rPr>
        <w:t xml:space="preserve">code_reference/data/schema.sql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CSV snapshot:</w:t>
      </w:r>
      <w:r>
        <w:t xml:space="preserve"> </w:t>
      </w:r>
      <w:r>
        <w:rPr>
          <w:rStyle w:val="VerbatimChar"/>
        </w:rPr>
        <w:t xml:space="preserve">&lt;see project CSV exports&gt;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Source table:</w:t>
      </w:r>
      <w:r>
        <w:t xml:space="preserve"> </w:t>
      </w:r>
      <w:r>
        <w:rPr>
          <w:rStyle w:val="VerbatimChar"/>
        </w:rPr>
        <w:t xml:space="preserve">&lt;source_call_log_table&gt;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Boundaries (district / police-station resolution):</w:t>
      </w:r>
      <w:r>
        <w:t xml:space="preserve"> </w:t>
      </w:r>
      <w:r>
        <w:rPr>
          <w:rStyle w:val="VerbatimChar"/>
        </w:rPr>
        <w:t xml:space="preserve">&lt;analytics_db&gt;.&lt;station_boundaries_ref&gt;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This is the updated edition of the original PSCA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District Dataset</w:t>
      </w:r>
      <w:r>
        <w:rPr>
          <w:i/>
        </w:rPr>
        <w:t xml:space="preserve"> </w:t>
      </w:r>
      <w:r>
        <w:rPr>
          <w:i/>
        </w:rPr>
        <w:t xml:space="preserve">and Data Dictionary Report</w:t>
      </w:r>
      <w:r>
        <w:rPr>
          <w:i/>
        </w:rPr>
        <w:t xml:space="preserve">”</w:t>
      </w:r>
      <w:r>
        <w:rPr>
          <w:i/>
        </w:rPr>
        <w:t xml:space="preserve">, reflecting the case-level working table</w:t>
      </w:r>
      <w:r>
        <w:rPr>
          <w:i/>
        </w:rPr>
        <w:t xml:space="preserve"> </w:t>
      </w:r>
      <w:r>
        <w:rPr>
          <w:i/>
        </w:rPr>
        <w:t xml:space="preserve">that powers the Minorities Early-Warning System.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District Dataset and Data Dictionary Report</dc:title>
  <dc:creator>Internship Project — Minorities Early-Warning System</dc:creator>
  <cp:keywords/>
  <dcterms:created xsi:type="dcterms:W3CDTF">2026-06-29T10:36:06Z</dcterms:created>
  <dcterms:modified xsi:type="dcterms:W3CDTF">2026-06-29T10:36:06Z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fontsize">
    <vt:lpwstr>11pt</vt:lpwstr>
  </property>
  <property fmtid="{D5CDD505-2E9C-101B-9397-08002B2CF9AE}" pid="4" name="geometry">
    <vt:lpwstr>margin=2cm</vt:lpwstr>
  </property>
  <property fmtid="{D5CDD505-2E9C-101B-9397-08002B2CF9AE}" pid="5" name="subtitle">
    <vt:lpwstr>Updated Edition — Every Column Explained in Plain Language</vt:lpwstr>
  </property>
  <property fmtid="{D5CDD505-2E9C-101B-9397-08002B2CF9AE}" pid="6" name="toc">
    <vt:lpwstr>True</vt:lpwstr>
  </property>
</Properties>
</file>