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mbria" w:cs="Cambria" w:eastAsia="Cambria" w:hAnsi="Cambria"/>
          <w:b/>
          <w:bCs/>
          <w:color w:val="B08D3E"/>
          <w:spacing w:val="40"/>
          <w:sz w:val="24"/>
          <w:szCs w:val="24"/>
        </w:rPr>
        <w:t xml:space="preserve">PROJECT PROPOSAL</w:t>
      </w:r>
    </w:p>
    <w:p>
      <w:pPr>
        <w:spacing w:before="200"/>
        <w:jc w:val="center"/>
      </w:pPr>
      <w:r>
        <w:rPr>
          <w:rFonts w:ascii="Cambria" w:cs="Cambria" w:eastAsia="Cambria" w:hAnsi="Cambria"/>
          <w:b/>
          <w:bCs/>
          <w:color w:val="1F3864"/>
          <w:sz w:val="48"/>
          <w:szCs w:val="48"/>
        </w:rPr>
        <w:t xml:space="preserve">Smart Provincial M&amp;E Management Ecosystem</w:t>
      </w:r>
    </w:p>
    <w:p>
      <w:pPr>
        <w:spacing w:after="90" w:before="150"/>
        <w:jc w:val="center"/>
      </w:pPr>
      <w:r>
        <w:rPr>
          <w:rFonts w:ascii="Calibri" w:cs="Calibri" w:eastAsia="Calibri" w:hAnsi="Calibri"/>
          <w:i/>
          <w:iCs/>
          <w:color w:val="595959"/>
          <w:sz w:val="22"/>
          <w:szCs w:val="22"/>
        </w:rPr>
        <w:t xml:space="preserve">A Unified Digital Platform for Scheme Information, Field Monitoring, and Financial Oversight</w:t>
      </w:r>
    </w:p>
    <w:p>
      <w:pPr>
        <w:spacing w:before="50"/>
        <w:jc w:val="center"/>
      </w:pPr>
      <w:r>
        <w:rPr>
          <w:rFonts w:ascii="Calibri" w:cs="Calibri" w:eastAsia="Calibri" w:hAnsi="Calibri"/>
          <w:b/>
          <w:bCs/>
          <w:color w:val="2E5395"/>
          <w:sz w:val="21"/>
          <w:szCs w:val="21"/>
        </w:rPr>
        <w:t xml:space="preserve">Comprising SIMS · PMS · Finance Dashboard</w:t>
      </w:r>
    </w:p>
    <w:p>
      <w:pPr>
        <w:pBdr>
          <w:top w:val="single" w:color="BFBFBF" w:sz="6" w:space="10"/>
        </w:pBdr>
        <w:spacing w:before="1000"/>
        <w:jc w:val="center"/>
      </w:pPr>
      <w:r>
        <w:t xml:space="preserve"/>
      </w:r>
    </w:p>
    <w:p>
      <w:pPr>
        <w:spacing w:before="280"/>
        <w:jc w:val="center"/>
      </w:pPr>
      <w:r>
        <w:rPr>
          <w:rFonts w:ascii="Calibri" w:cs="Calibri" w:eastAsia="Calibri" w:hAnsi="Calibri"/>
          <w:color w:val="333333"/>
          <w:sz w:val="20"/>
          <w:szCs w:val="20"/>
        </w:rPr>
        <w:t xml:space="preserve">Prepared for: Provincial Planning &amp; Development / Monitoring &amp; Evaluation Cell</w:t>
      </w:r>
    </w:p>
    <w:p>
      <w:pPr>
        <w:spacing w:before="110"/>
        <w:jc w:val="center"/>
      </w:pPr>
      <w:r>
        <w:rPr>
          <w:rFonts w:ascii="Calibri" w:cs="Calibri" w:eastAsia="Calibri" w:hAnsi="Calibri"/>
          <w:color w:val="333333"/>
          <w:sz w:val="20"/>
          <w:szCs w:val="20"/>
        </w:rPr>
        <w:t xml:space="preserve">Document Type: Software Project Proposal &amp; Technical Documentation</w:t>
      </w:r>
    </w:p>
    <w:p>
      <w:pPr>
        <w:spacing w:before="110"/>
        <w:jc w:val="center"/>
      </w:pPr>
      <w:r>
        <w:rPr>
          <w:rFonts w:ascii="Calibri" w:cs="Calibri" w:eastAsia="Calibri" w:hAnsi="Calibri"/>
          <w:color w:val="333333"/>
          <w:sz w:val="20"/>
          <w:szCs w:val="20"/>
        </w:rPr>
        <w:t xml:space="preserve">Prepared by:</w:t>
      </w:r>
    </w:p>
    <w:p>
      <w:pPr>
        <w:spacing w:before="60"/>
        <w:jc w:val="center"/>
      </w:pPr>
      <w:r>
        <w:rPr>
          <w:rFonts w:ascii="Calibri" w:cs="Calibri" w:eastAsia="Calibri" w:hAnsi="Calibri"/>
          <w:b/>
          <w:bCs/>
          <w:color w:val="1F3864"/>
          <w:sz w:val="22"/>
          <w:szCs w:val="22"/>
        </w:rPr>
        <w:t xml:space="preserve">Muhammad Mustafa   &amp;   Rizwan Vadsariya</w:t>
      </w:r>
    </w:p>
    <w:p>
      <w:pPr>
        <w:spacing w:before="40"/>
        <w:jc w:val="center"/>
      </w:pPr>
      <w:r>
        <w:rPr>
          <w:rFonts w:ascii="Calibri" w:cs="Calibri" w:eastAsia="Calibri" w:hAnsi="Calibri"/>
          <w:i/>
          <w:iCs/>
          <w:color w:val="595959"/>
          <w:sz w:val="19"/>
          <w:szCs w:val="19"/>
        </w:rPr>
        <w:t xml:space="preserve">Development Team (2 Members)</w:t>
      </w:r>
    </w:p>
    <w:p>
      <w:pPr>
        <w:spacing w:before="150"/>
        <w:jc w:val="center"/>
      </w:pPr>
      <w:r>
        <w:rPr>
          <w:rFonts w:ascii="Calibri" w:cs="Calibri" w:eastAsia="Calibri" w:hAnsi="Calibri"/>
          <w:color w:val="333333"/>
          <w:sz w:val="20"/>
          <w:szCs w:val="20"/>
        </w:rPr>
        <w:t xml:space="preserve">Date: September 2026    |    Version: 1.0</w:t>
      </w:r>
    </w:p>
    <w:p>
      <w:r>
        <w:br w:type="page"/>
      </w:r>
    </w:p>
    <w:p>
      <w:pPr>
        <w:pStyle w:val="Heading1"/>
        <w:pBdr>
          <w:bottom w:val="single" w:color="1F3864" w:sz="8" w:space="4"/>
        </w:pBdr>
        <w:spacing w:after="160" w:before="380"/>
      </w:pPr>
      <w:r>
        <w:rPr>
          <w:rFonts w:ascii="Cambria" w:cs="Cambria" w:eastAsia="Cambria" w:hAnsi="Cambria"/>
          <w:b/>
          <w:bCs/>
          <w:color w:val="1F3864"/>
          <w:sz w:val="27"/>
          <w:szCs w:val="27"/>
        </w:rPr>
        <w:t xml:space="preserve">Table of Contents</w:t>
      </w:r>
    </w:p>
    <w:p>
      <w:pPr>
        <w:spacing w:after="90"/>
      </w:pPr>
      <w:r>
        <w:rPr>
          <w:rFonts w:ascii="Calibri" w:cs="Calibri" w:eastAsia="Calibri" w:hAnsi="Calibri"/>
          <w:b/>
          <w:bCs/>
          <w:color w:val="2E5395"/>
          <w:sz w:val="21"/>
          <w:szCs w:val="21"/>
        </w:rPr>
        <w:t xml:space="preserve">1.  </w:t>
      </w:r>
      <w:r>
        <w:rPr>
          <w:rFonts w:ascii="Calibri" w:cs="Calibri" w:eastAsia="Calibri" w:hAnsi="Calibri"/>
          <w:color w:val="222222"/>
          <w:sz w:val="21"/>
          <w:szCs w:val="21"/>
        </w:rPr>
        <w:t xml:space="preserve">Executive Summary</w:t>
      </w:r>
    </w:p>
    <w:p>
      <w:pPr>
        <w:spacing w:after="90"/>
      </w:pPr>
      <w:r>
        <w:rPr>
          <w:rFonts w:ascii="Calibri" w:cs="Calibri" w:eastAsia="Calibri" w:hAnsi="Calibri"/>
          <w:b/>
          <w:bCs/>
          <w:color w:val="2E5395"/>
          <w:sz w:val="21"/>
          <w:szCs w:val="21"/>
        </w:rPr>
        <w:t xml:space="preserve">2.  </w:t>
      </w:r>
      <w:r>
        <w:rPr>
          <w:rFonts w:ascii="Calibri" w:cs="Calibri" w:eastAsia="Calibri" w:hAnsi="Calibri"/>
          <w:color w:val="222222"/>
          <w:sz w:val="21"/>
          <w:szCs w:val="21"/>
        </w:rPr>
        <w:t xml:space="preserve">Project Background &amp; Problem Statement</w:t>
      </w:r>
    </w:p>
    <w:p>
      <w:pPr>
        <w:spacing w:after="90"/>
      </w:pPr>
      <w:r>
        <w:rPr>
          <w:rFonts w:ascii="Calibri" w:cs="Calibri" w:eastAsia="Calibri" w:hAnsi="Calibri"/>
          <w:b/>
          <w:bCs/>
          <w:color w:val="2E5395"/>
          <w:sz w:val="21"/>
          <w:szCs w:val="21"/>
        </w:rPr>
        <w:t xml:space="preserve">3.  </w:t>
      </w:r>
      <w:r>
        <w:rPr>
          <w:rFonts w:ascii="Calibri" w:cs="Calibri" w:eastAsia="Calibri" w:hAnsi="Calibri"/>
          <w:color w:val="222222"/>
          <w:sz w:val="21"/>
          <w:szCs w:val="21"/>
        </w:rPr>
        <w:t xml:space="preserve">Proposed Solution &amp; Objectives</w:t>
      </w:r>
    </w:p>
    <w:p>
      <w:pPr>
        <w:spacing w:after="90"/>
      </w:pPr>
      <w:r>
        <w:rPr>
          <w:rFonts w:ascii="Calibri" w:cs="Calibri" w:eastAsia="Calibri" w:hAnsi="Calibri"/>
          <w:b/>
          <w:bCs/>
          <w:color w:val="2E5395"/>
          <w:sz w:val="21"/>
          <w:szCs w:val="21"/>
        </w:rPr>
        <w:t xml:space="preserve">4.  </w:t>
      </w:r>
      <w:r>
        <w:rPr>
          <w:rFonts w:ascii="Calibri" w:cs="Calibri" w:eastAsia="Calibri" w:hAnsi="Calibri"/>
          <w:color w:val="222222"/>
          <w:sz w:val="21"/>
          <w:szCs w:val="21"/>
        </w:rPr>
        <w:t xml:space="preserve">Project Scope</w:t>
      </w:r>
    </w:p>
    <w:p>
      <w:pPr>
        <w:spacing w:after="90"/>
      </w:pPr>
      <w:r>
        <w:rPr>
          <w:rFonts w:ascii="Calibri" w:cs="Calibri" w:eastAsia="Calibri" w:hAnsi="Calibri"/>
          <w:b/>
          <w:bCs/>
          <w:color w:val="2E5395"/>
          <w:sz w:val="21"/>
          <w:szCs w:val="21"/>
        </w:rPr>
        <w:t xml:space="preserve">5.  </w:t>
      </w:r>
      <w:r>
        <w:rPr>
          <w:rFonts w:ascii="Calibri" w:cs="Calibri" w:eastAsia="Calibri" w:hAnsi="Calibri"/>
          <w:color w:val="222222"/>
          <w:sz w:val="21"/>
          <w:szCs w:val="21"/>
        </w:rPr>
        <w:t xml:space="preserve">System Overview &amp; Core Modules</w:t>
      </w:r>
    </w:p>
    <w:p>
      <w:pPr>
        <w:spacing w:after="90"/>
      </w:pPr>
      <w:r>
        <w:rPr>
          <w:rFonts w:ascii="Calibri" w:cs="Calibri" w:eastAsia="Calibri" w:hAnsi="Calibri"/>
          <w:b/>
          <w:bCs/>
          <w:color w:val="2E5395"/>
          <w:sz w:val="21"/>
          <w:szCs w:val="21"/>
        </w:rPr>
        <w:t xml:space="preserve">6.  </w:t>
      </w:r>
      <w:r>
        <w:rPr>
          <w:rFonts w:ascii="Calibri" w:cs="Calibri" w:eastAsia="Calibri" w:hAnsi="Calibri"/>
          <w:color w:val="222222"/>
          <w:sz w:val="21"/>
          <w:szCs w:val="21"/>
        </w:rPr>
        <w:t xml:space="preserve">User Roles &amp; Access Control</w:t>
      </w:r>
    </w:p>
    <w:p>
      <w:pPr>
        <w:spacing w:after="90"/>
      </w:pPr>
      <w:r>
        <w:rPr>
          <w:rFonts w:ascii="Calibri" w:cs="Calibri" w:eastAsia="Calibri" w:hAnsi="Calibri"/>
          <w:b/>
          <w:bCs/>
          <w:color w:val="2E5395"/>
          <w:sz w:val="21"/>
          <w:szCs w:val="21"/>
        </w:rPr>
        <w:t xml:space="preserve">7.  </w:t>
      </w:r>
      <w:r>
        <w:rPr>
          <w:rFonts w:ascii="Calibri" w:cs="Calibri" w:eastAsia="Calibri" w:hAnsi="Calibri"/>
          <w:color w:val="222222"/>
          <w:sz w:val="21"/>
          <w:szCs w:val="21"/>
        </w:rPr>
        <w:t xml:space="preserve">End-to-End Workflow</w:t>
      </w:r>
    </w:p>
    <w:p>
      <w:pPr>
        <w:spacing w:after="90"/>
      </w:pPr>
      <w:r>
        <w:rPr>
          <w:rFonts w:ascii="Calibri" w:cs="Calibri" w:eastAsia="Calibri" w:hAnsi="Calibri"/>
          <w:b/>
          <w:bCs/>
          <w:color w:val="2E5395"/>
          <w:sz w:val="21"/>
          <w:szCs w:val="21"/>
        </w:rPr>
        <w:t xml:space="preserve">8.  </w:t>
      </w:r>
      <w:r>
        <w:rPr>
          <w:rFonts w:ascii="Calibri" w:cs="Calibri" w:eastAsia="Calibri" w:hAnsi="Calibri"/>
          <w:color w:val="222222"/>
          <w:sz w:val="21"/>
          <w:szCs w:val="21"/>
        </w:rPr>
        <w:t xml:space="preserve">Mobile Application &amp; FMO Field Workflow</w:t>
      </w:r>
    </w:p>
    <w:p>
      <w:pPr>
        <w:spacing w:after="90"/>
      </w:pPr>
      <w:r>
        <w:rPr>
          <w:rFonts w:ascii="Calibri" w:cs="Calibri" w:eastAsia="Calibri" w:hAnsi="Calibri"/>
          <w:b/>
          <w:bCs/>
          <w:color w:val="2E5395"/>
          <w:sz w:val="21"/>
          <w:szCs w:val="21"/>
        </w:rPr>
        <w:t xml:space="preserve">9.  </w:t>
      </w:r>
      <w:r>
        <w:rPr>
          <w:rFonts w:ascii="Calibri" w:cs="Calibri" w:eastAsia="Calibri" w:hAnsi="Calibri"/>
          <w:color w:val="222222"/>
          <w:sz w:val="21"/>
          <w:szCs w:val="21"/>
        </w:rPr>
        <w:t xml:space="preserve">Location Verification &amp; Field Evidence Security</w:t>
      </w:r>
    </w:p>
    <w:p>
      <w:pPr>
        <w:spacing w:after="90"/>
      </w:pPr>
      <w:r>
        <w:rPr>
          <w:rFonts w:ascii="Calibri" w:cs="Calibri" w:eastAsia="Calibri" w:hAnsi="Calibri"/>
          <w:b/>
          <w:bCs/>
          <w:color w:val="2E5395"/>
          <w:sz w:val="21"/>
          <w:szCs w:val="21"/>
        </w:rPr>
        <w:t xml:space="preserve">10.  </w:t>
      </w:r>
      <w:r>
        <w:rPr>
          <w:rFonts w:ascii="Calibri" w:cs="Calibri" w:eastAsia="Calibri" w:hAnsi="Calibri"/>
          <w:color w:val="222222"/>
          <w:sz w:val="21"/>
          <w:szCs w:val="21"/>
        </w:rPr>
        <w:t xml:space="preserve">Offline-First Operation</w:t>
      </w:r>
    </w:p>
    <w:p>
      <w:pPr>
        <w:spacing w:after="90"/>
      </w:pPr>
      <w:r>
        <w:rPr>
          <w:rFonts w:ascii="Calibri" w:cs="Calibri" w:eastAsia="Calibri" w:hAnsi="Calibri"/>
          <w:b/>
          <w:bCs/>
          <w:color w:val="2E5395"/>
          <w:sz w:val="21"/>
          <w:szCs w:val="21"/>
        </w:rPr>
        <w:t xml:space="preserve">11.  </w:t>
      </w:r>
      <w:r>
        <w:rPr>
          <w:rFonts w:ascii="Calibri" w:cs="Calibri" w:eastAsia="Calibri" w:hAnsi="Calibri"/>
          <w:color w:val="222222"/>
          <w:sz w:val="21"/>
          <w:szCs w:val="21"/>
        </w:rPr>
        <w:t xml:space="preserve">Financial Monitoring &amp; Variance Engine</w:t>
      </w:r>
    </w:p>
    <w:p>
      <w:pPr>
        <w:spacing w:after="90"/>
      </w:pPr>
      <w:r>
        <w:rPr>
          <w:rFonts w:ascii="Calibri" w:cs="Calibri" w:eastAsia="Calibri" w:hAnsi="Calibri"/>
          <w:b/>
          <w:bCs/>
          <w:color w:val="2E5395"/>
          <w:sz w:val="21"/>
          <w:szCs w:val="21"/>
        </w:rPr>
        <w:t xml:space="preserve">12.  </w:t>
      </w:r>
      <w:r>
        <w:rPr>
          <w:rFonts w:ascii="Calibri" w:cs="Calibri" w:eastAsia="Calibri" w:hAnsi="Calibri"/>
          <w:color w:val="222222"/>
          <w:sz w:val="21"/>
          <w:szCs w:val="21"/>
        </w:rPr>
        <w:t xml:space="preserve">System Architecture &amp; Technology Stack</w:t>
      </w:r>
    </w:p>
    <w:p>
      <w:pPr>
        <w:spacing w:after="90"/>
      </w:pPr>
      <w:r>
        <w:rPr>
          <w:rFonts w:ascii="Calibri" w:cs="Calibri" w:eastAsia="Calibri" w:hAnsi="Calibri"/>
          <w:b/>
          <w:bCs/>
          <w:color w:val="2E5395"/>
          <w:sz w:val="21"/>
          <w:szCs w:val="21"/>
        </w:rPr>
        <w:t xml:space="preserve">13.  </w:t>
      </w:r>
      <w:r>
        <w:rPr>
          <w:rFonts w:ascii="Calibri" w:cs="Calibri" w:eastAsia="Calibri" w:hAnsi="Calibri"/>
          <w:color w:val="222222"/>
          <w:sz w:val="21"/>
          <w:szCs w:val="21"/>
        </w:rPr>
        <w:t xml:space="preserve">Data Model</w:t>
      </w:r>
    </w:p>
    <w:p>
      <w:pPr>
        <w:spacing w:after="90"/>
      </w:pPr>
      <w:r>
        <w:rPr>
          <w:rFonts w:ascii="Calibri" w:cs="Calibri" w:eastAsia="Calibri" w:hAnsi="Calibri"/>
          <w:b/>
          <w:bCs/>
          <w:color w:val="2E5395"/>
          <w:sz w:val="21"/>
          <w:szCs w:val="21"/>
        </w:rPr>
        <w:t xml:space="preserve">14.  </w:t>
      </w:r>
      <w:r>
        <w:rPr>
          <w:rFonts w:ascii="Calibri" w:cs="Calibri" w:eastAsia="Calibri" w:hAnsi="Calibri"/>
          <w:color w:val="222222"/>
          <w:sz w:val="21"/>
          <w:szCs w:val="21"/>
        </w:rPr>
        <w:t xml:space="preserve">Functional &amp; Non-Functional Requirements</w:t>
      </w:r>
    </w:p>
    <w:p>
      <w:pPr>
        <w:spacing w:after="90"/>
      </w:pPr>
      <w:r>
        <w:rPr>
          <w:rFonts w:ascii="Calibri" w:cs="Calibri" w:eastAsia="Calibri" w:hAnsi="Calibri"/>
          <w:b/>
          <w:bCs/>
          <w:color w:val="2E5395"/>
          <w:sz w:val="21"/>
          <w:szCs w:val="21"/>
        </w:rPr>
        <w:t xml:space="preserve">15.  </w:t>
      </w:r>
      <w:r>
        <w:rPr>
          <w:rFonts w:ascii="Calibri" w:cs="Calibri" w:eastAsia="Calibri" w:hAnsi="Calibri"/>
          <w:color w:val="222222"/>
          <w:sz w:val="21"/>
          <w:szCs w:val="21"/>
        </w:rPr>
        <w:t xml:space="preserve">Development Roadmap</w:t>
      </w:r>
    </w:p>
    <w:p>
      <w:pPr>
        <w:spacing w:after="90"/>
      </w:pPr>
      <w:r>
        <w:rPr>
          <w:rFonts w:ascii="Calibri" w:cs="Calibri" w:eastAsia="Calibri" w:hAnsi="Calibri"/>
          <w:b/>
          <w:bCs/>
          <w:color w:val="2E5395"/>
          <w:sz w:val="21"/>
          <w:szCs w:val="21"/>
        </w:rPr>
        <w:t xml:space="preserve">16.  </w:t>
      </w:r>
      <w:r>
        <w:rPr>
          <w:rFonts w:ascii="Calibri" w:cs="Calibri" w:eastAsia="Calibri" w:hAnsi="Calibri"/>
          <w:color w:val="222222"/>
          <w:sz w:val="21"/>
          <w:szCs w:val="21"/>
        </w:rPr>
        <w:t xml:space="preserve">Testing Strategy</w:t>
      </w:r>
    </w:p>
    <w:p>
      <w:pPr>
        <w:spacing w:after="90"/>
      </w:pPr>
      <w:r>
        <w:rPr>
          <w:rFonts w:ascii="Calibri" w:cs="Calibri" w:eastAsia="Calibri" w:hAnsi="Calibri"/>
          <w:b/>
          <w:bCs/>
          <w:color w:val="2E5395"/>
          <w:sz w:val="21"/>
          <w:szCs w:val="21"/>
        </w:rPr>
        <w:t xml:space="preserve">17.  </w:t>
      </w:r>
      <w:r>
        <w:rPr>
          <w:rFonts w:ascii="Calibri" w:cs="Calibri" w:eastAsia="Calibri" w:hAnsi="Calibri"/>
          <w:color w:val="222222"/>
          <w:sz w:val="21"/>
          <w:szCs w:val="21"/>
        </w:rPr>
        <w:t xml:space="preserve">MVP Scope &amp; Future Enhancements</w:t>
      </w:r>
    </w:p>
    <w:p>
      <w:pPr>
        <w:spacing w:after="90"/>
      </w:pPr>
      <w:r>
        <w:rPr>
          <w:rFonts w:ascii="Calibri" w:cs="Calibri" w:eastAsia="Calibri" w:hAnsi="Calibri"/>
          <w:b/>
          <w:bCs/>
          <w:color w:val="2E5395"/>
          <w:sz w:val="21"/>
          <w:szCs w:val="21"/>
        </w:rPr>
        <w:t xml:space="preserve">18.  </w:t>
      </w:r>
      <w:r>
        <w:rPr>
          <w:rFonts w:ascii="Calibri" w:cs="Calibri" w:eastAsia="Calibri" w:hAnsi="Calibri"/>
          <w:color w:val="222222"/>
          <w:sz w:val="21"/>
          <w:szCs w:val="21"/>
        </w:rPr>
        <w:t xml:space="preserve">Conclusion</w:t>
      </w:r>
    </w:p>
    <w:p>
      <w:r>
        <w:br w:type="page"/>
      </w:r>
    </w:p>
    <w:p>
      <w:pPr>
        <w:pStyle w:val="Heading1"/>
        <w:pBdr>
          <w:bottom w:val="single" w:color="1F3864" w:sz="8" w:space="4"/>
        </w:pBdr>
        <w:spacing w:after="160" w:before="380"/>
      </w:pPr>
      <w:r>
        <w:rPr>
          <w:rFonts w:ascii="Cambria" w:cs="Cambria" w:eastAsia="Cambria" w:hAnsi="Cambria"/>
          <w:b/>
          <w:bCs/>
          <w:color w:val="1F3864"/>
          <w:sz w:val="27"/>
          <w:szCs w:val="27"/>
        </w:rPr>
        <w:t xml:space="preserve">1. Executive Summary</w:t>
      </w:r>
    </w:p>
    <w:p>
      <w:pPr>
        <w:spacing w:after="130" w:line="264"/>
        <w:jc w:val="both"/>
      </w:pPr>
      <w:r>
        <w:rPr>
          <w:rFonts w:ascii="Calibri" w:cs="Calibri" w:eastAsia="Calibri" w:hAnsi="Calibri"/>
          <w:color w:val="222222"/>
          <w:sz w:val="20"/>
          <w:szCs w:val="20"/>
        </w:rPr>
        <w:t xml:space="preserve">The Smart Provincial M&amp;E Management Ecosystem is a proposed digital platform for monitoring development schemes across Sindh Province. It replaces fragmented, manual, document-based tracking with a single, role-adaptive system connecting scheme registration, field verification, and financial oversight.</w:t>
      </w:r>
    </w:p>
    <w:p>
      <w:pPr>
        <w:spacing w:after="130" w:line="264"/>
        <w:jc w:val="both"/>
      </w:pPr>
      <w:r>
        <w:rPr>
          <w:rFonts w:ascii="Calibri" w:cs="Calibri" w:eastAsia="Calibri" w:hAnsi="Calibri"/>
          <w:color w:val="222222"/>
          <w:sz w:val="20"/>
          <w:szCs w:val="20"/>
        </w:rPr>
        <w:t xml:space="preserve">The ecosystem consists of three integrated components — SIMS (Scheme Information Management System), PMS (Project Monitoring System), and a Finance Dashboard — connected by a Variance Engine that cross-checks financial expenditure against verified physical progress to surface discrepancies requiring management attention.</w:t>
      </w:r>
    </w:p>
    <w:p>
      <w:pPr>
        <w:spacing w:after="130" w:line="264"/>
        <w:jc w:val="both"/>
      </w:pPr>
      <w:r>
        <w:rPr>
          <w:rFonts w:ascii="Calibri" w:cs="Calibri" w:eastAsia="Calibri" w:hAnsi="Calibri"/>
          <w:color w:val="222222"/>
          <w:sz w:val="20"/>
          <w:szCs w:val="20"/>
        </w:rPr>
        <w:t xml:space="preserve">The system will be delivered as a single role-adaptive React Native mobile application, supported by a centralized Node.js/Express backend and a MongoDB database. Field Monitoring Officers use a dedicated Field Mode with GPS/geofence verification, live in-app camera capture with automatic evidence watermarking, and offline-first data capture with background synchronization. Configurable values referenced in this document (e.g., geofence radius, variance thresholds) are explicitly labelled as proposed defaults pending organizational confirmation.</w:t>
      </w:r>
    </w:p>
    <w:p>
      <w:pPr>
        <w:pStyle w:val="Heading1"/>
        <w:pBdr>
          <w:bottom w:val="single" w:color="1F3864" w:sz="8" w:space="4"/>
        </w:pBdr>
        <w:spacing w:after="160" w:before="380"/>
      </w:pPr>
      <w:r>
        <w:rPr>
          <w:rFonts w:ascii="Cambria" w:cs="Cambria" w:eastAsia="Cambria" w:hAnsi="Cambria"/>
          <w:b/>
          <w:bCs/>
          <w:color w:val="1F3864"/>
          <w:sz w:val="27"/>
          <w:szCs w:val="27"/>
        </w:rPr>
        <w:t xml:space="preserve">2. Project Background &amp; Problem Statement</w:t>
      </w:r>
    </w:p>
    <w:p>
      <w:pPr>
        <w:spacing w:after="130" w:line="264"/>
        <w:jc w:val="both"/>
      </w:pPr>
      <w:r>
        <w:rPr>
          <w:rFonts w:ascii="Calibri" w:cs="Calibri" w:eastAsia="Calibri" w:hAnsi="Calibri"/>
          <w:color w:val="222222"/>
          <w:sz w:val="20"/>
          <w:szCs w:val="20"/>
        </w:rPr>
        <w:t xml:space="preserve">Provincial development authorities oversee a large, diverse portfolio of schemes across sectors such as infrastructure, roads, bridges, health, education, energy, public health engineering, water &amp; sanitation, and finance — spread across multiple divisions, districts, and project sites. Scheme information today tends to exist in scattered form across departments, physical files, and spreadsheets, with no single authoritative source management or field staff can rely on.</w:t>
      </w:r>
    </w:p>
    <w:p>
      <w:pPr>
        <w:pStyle w:val="Heading2"/>
        <w:spacing w:after="110" w:before="240"/>
      </w:pPr>
      <w:r>
        <w:rPr>
          <w:rFonts w:ascii="Cambria" w:cs="Cambria" w:eastAsia="Cambria" w:hAnsi="Cambria"/>
          <w:b/>
          <w:bCs/>
          <w:color w:val="2E5395"/>
          <w:sz w:val="22"/>
          <w:szCs w:val="22"/>
        </w:rPr>
        <w:t xml:space="preserve">Core Problems Addressed</w:t>
      </w:r>
    </w:p>
    <w:p>
      <w:pPr>
        <w:pStyle w:val="ListParagraph"/>
        <w:numPr>
          <w:ilvl w:val="0"/>
          <w:numId w:val="1"/>
        </w:numPr>
        <w:spacing w:after="70" w:line="258"/>
      </w:pPr>
      <w:r>
        <w:rPr>
          <w:rFonts w:ascii="Calibri" w:cs="Calibri" w:eastAsia="Calibri" w:hAnsi="Calibri"/>
          <w:color w:val="222222"/>
          <w:sz w:val="20"/>
          <w:szCs w:val="20"/>
        </w:rPr>
        <w:t xml:space="preserve">Lack of a centralized, province-wide source of scheme information.</w:t>
      </w:r>
    </w:p>
    <w:p>
      <w:pPr>
        <w:pStyle w:val="ListParagraph"/>
        <w:numPr>
          <w:ilvl w:val="0"/>
          <w:numId w:val="1"/>
        </w:numPr>
        <w:spacing w:after="70" w:line="258"/>
      </w:pPr>
      <w:r>
        <w:rPr>
          <w:rFonts w:ascii="Calibri" w:cs="Calibri" w:eastAsia="Calibri" w:hAnsi="Calibri"/>
          <w:color w:val="222222"/>
          <w:sz w:val="20"/>
          <w:szCs w:val="20"/>
        </w:rPr>
        <w:t xml:space="preserve">Difficulty monitoring projects consistently across districts, divisions, and sectors.</w:t>
      </w:r>
    </w:p>
    <w:p>
      <w:pPr>
        <w:pStyle w:val="ListParagraph"/>
        <w:numPr>
          <w:ilvl w:val="0"/>
          <w:numId w:val="1"/>
        </w:numPr>
        <w:spacing w:after="70" w:line="258"/>
      </w:pPr>
      <w:r>
        <w:rPr>
          <w:rFonts w:ascii="Calibri" w:cs="Calibri" w:eastAsia="Calibri" w:hAnsi="Calibri"/>
          <w:color w:val="222222"/>
          <w:sz w:val="20"/>
          <w:szCs w:val="20"/>
        </w:rPr>
        <w:t xml:space="preserve">Weak field verification — no reliable way to confirm reported progress reflects ground reality.</w:t>
      </w:r>
    </w:p>
    <w:p>
      <w:pPr>
        <w:pStyle w:val="ListParagraph"/>
        <w:numPr>
          <w:ilvl w:val="0"/>
          <w:numId w:val="1"/>
        </w:numPr>
        <w:spacing w:after="70" w:line="258"/>
      </w:pPr>
      <w:r>
        <w:rPr>
          <w:rFonts w:ascii="Calibri" w:cs="Calibri" w:eastAsia="Calibri" w:hAnsi="Calibri"/>
          <w:color w:val="222222"/>
          <w:sz w:val="20"/>
          <w:szCs w:val="20"/>
        </w:rPr>
        <w:t xml:space="preserve">Unverified photo evidence, which may not originate from the actual project site.</w:t>
      </w:r>
    </w:p>
    <w:p>
      <w:pPr>
        <w:pStyle w:val="ListParagraph"/>
        <w:numPr>
          <w:ilvl w:val="0"/>
          <w:numId w:val="1"/>
        </w:numPr>
        <w:spacing w:after="70" w:line="258"/>
      </w:pPr>
      <w:r>
        <w:rPr>
          <w:rFonts w:ascii="Calibri" w:cs="Calibri" w:eastAsia="Calibri" w:hAnsi="Calibri"/>
          <w:color w:val="222222"/>
          <w:sz w:val="20"/>
          <w:szCs w:val="20"/>
        </w:rPr>
        <w:t xml:space="preserve">No structured mechanism to verify a field officer's presence at a site.</w:t>
      </w:r>
    </w:p>
    <w:p>
      <w:pPr>
        <w:pStyle w:val="ListParagraph"/>
        <w:numPr>
          <w:ilvl w:val="0"/>
          <w:numId w:val="1"/>
        </w:numPr>
        <w:spacing w:after="70" w:line="258"/>
      </w:pPr>
      <w:r>
        <w:rPr>
          <w:rFonts w:ascii="Calibri" w:cs="Calibri" w:eastAsia="Calibri" w:hAnsi="Calibri"/>
          <w:color w:val="222222"/>
          <w:sz w:val="20"/>
          <w:szCs w:val="20"/>
        </w:rPr>
        <w:t xml:space="preserve">A disconnect between financial expenditure and actual physical progress.</w:t>
      </w:r>
    </w:p>
    <w:p>
      <w:pPr>
        <w:pStyle w:val="ListParagraph"/>
        <w:numPr>
          <w:ilvl w:val="0"/>
          <w:numId w:val="1"/>
        </w:numPr>
        <w:spacing w:after="70" w:line="258"/>
      </w:pPr>
      <w:r>
        <w:rPr>
          <w:rFonts w:ascii="Calibri" w:cs="Calibri" w:eastAsia="Calibri" w:hAnsi="Calibri"/>
          <w:color w:val="222222"/>
          <w:sz w:val="20"/>
          <w:szCs w:val="20"/>
        </w:rPr>
        <w:t xml:space="preserve">Delayed identification of stalled, halted, or problem projects.</w:t>
      </w:r>
    </w:p>
    <w:p>
      <w:pPr>
        <w:pStyle w:val="ListParagraph"/>
        <w:numPr>
          <w:ilvl w:val="0"/>
          <w:numId w:val="1"/>
        </w:numPr>
        <w:spacing w:after="70" w:line="258"/>
      </w:pPr>
      <w:r>
        <w:rPr>
          <w:rFonts w:ascii="Calibri" w:cs="Calibri" w:eastAsia="Calibri" w:hAnsi="Calibri"/>
          <w:color w:val="222222"/>
          <w:sz w:val="20"/>
          <w:szCs w:val="20"/>
        </w:rPr>
        <w:t xml:space="preserve">Lack of real-time dashboards, GIS visibility, and automated alerts for management.</w:t>
      </w:r>
    </w:p>
    <w:p>
      <w:pPr>
        <w:pStyle w:val="Heading1"/>
        <w:pBdr>
          <w:bottom w:val="single" w:color="1F3864" w:sz="8" w:space="4"/>
        </w:pBdr>
        <w:spacing w:after="160" w:before="380"/>
      </w:pPr>
      <w:r>
        <w:rPr>
          <w:rFonts w:ascii="Cambria" w:cs="Cambria" w:eastAsia="Cambria" w:hAnsi="Cambria"/>
          <w:b/>
          <w:bCs/>
          <w:color w:val="1F3864"/>
          <w:sz w:val="27"/>
          <w:szCs w:val="27"/>
        </w:rPr>
        <w:t xml:space="preserve">3. Proposed Solution &amp; Objectives</w:t>
      </w:r>
    </w:p>
    <w:p>
      <w:pPr>
        <w:spacing w:after="130" w:line="264"/>
        <w:jc w:val="both"/>
      </w:pPr>
      <w:r>
        <w:rPr>
          <w:rFonts w:ascii="Calibri" w:cs="Calibri" w:eastAsia="Calibri" w:hAnsi="Calibri"/>
          <w:color w:val="222222"/>
          <w:sz w:val="20"/>
          <w:szCs w:val="20"/>
        </w:rPr>
        <w:t xml:space="preserve">The system addresses these problems through a centralized scheme registry, GPS-verified field inspections with tamper-resistant evidence, structured financial tracking, and an automated Variance Engine.</w:t>
      </w:r>
    </w:p>
    <w:p>
      <w:pPr>
        <w:pStyle w:val="Heading2"/>
        <w:spacing w:after="110" w:before="240"/>
      </w:pPr>
      <w:r>
        <w:rPr>
          <w:rFonts w:ascii="Cambria" w:cs="Cambria" w:eastAsia="Cambria" w:hAnsi="Cambria"/>
          <w:b/>
          <w:bCs/>
          <w:color w:val="2E5395"/>
          <w:sz w:val="22"/>
          <w:szCs w:val="22"/>
        </w:rPr>
        <w:t xml:space="preserve">Illustrative Example</w:t>
      </w:r>
    </w:p>
    <w:p>
      <w:pPr>
        <w:spacing w:after="130" w:line="264"/>
        <w:jc w:val="both"/>
      </w:pPr>
      <w:r>
        <w:rPr>
          <w:rFonts w:ascii="Calibri" w:cs="Calibri" w:eastAsia="Calibri" w:hAnsi="Calibri"/>
          <w:color w:val="222222"/>
          <w:sz w:val="20"/>
          <w:szCs w:val="20"/>
        </w:rPr>
        <w:t xml:space="preserve">A road scheme in Hyderabad has an approved budget of Rs. 100 Crore. Financial records show 80% of the budget spent, while a field inspection verifies only 30% physical completion.</w:t>
      </w:r>
    </w:p>
    <w:p>
      <w:pPr>
        <w:pBdr>
          <w:top w:val="single" w:color="2E5395" w:sz="4"/>
          <w:bottom w:val="single" w:color="2E5395" w:sz="4"/>
          <w:left w:val="single" w:color="2E5395" w:sz="4"/>
          <w:right w:val="single" w:color="2E5395" w:sz="4"/>
        </w:pBdr>
        <w:shd w:fill="EEF2F8" w:val="clear"/>
        <w:spacing w:after="140" w:before="100"/>
        <w:jc w:val="center"/>
      </w:pPr>
      <w:r>
        <w:rPr>
          <w:rFonts w:ascii="Calibri" w:cs="Calibri" w:eastAsia="Calibri" w:hAnsi="Calibri"/>
          <w:b/>
          <w:bCs/>
          <w:color w:val="1F3864"/>
          <w:sz w:val="20"/>
          <w:szCs w:val="20"/>
        </w:rPr>
        <w:t xml:space="preserve">Variance Index = Financial Expenditure % − Physical Progress % = 80% − 30% = 50%</w:t>
      </w:r>
    </w:p>
    <w:p>
      <w:pPr>
        <w:spacing w:after="130" w:line="264"/>
        <w:jc w:val="both"/>
      </w:pPr>
      <w:r>
        <w:rPr>
          <w:rFonts w:ascii="Calibri" w:cs="Calibri" w:eastAsia="Calibri" w:hAnsi="Calibri"/>
          <w:color w:val="222222"/>
          <w:sz w:val="20"/>
          <w:szCs w:val="20"/>
        </w:rPr>
        <w:t xml:space="preserve">A 50% variance is a Red Flag, automatically surfaced on the dashboard for management review and follow-up action.</w:t>
      </w:r>
    </w:p>
    <w:p>
      <w:pPr>
        <w:pStyle w:val="Heading2"/>
        <w:spacing w:after="110" w:before="240"/>
      </w:pPr>
      <w:r>
        <w:rPr>
          <w:rFonts w:ascii="Cambria" w:cs="Cambria" w:eastAsia="Cambria" w:hAnsi="Cambria"/>
          <w:b/>
          <w:bCs/>
          <w:color w:val="2E5395"/>
          <w:sz w:val="22"/>
          <w:szCs w:val="22"/>
        </w:rPr>
        <w:t xml:space="preserve">Key Objectives</w:t>
      </w:r>
    </w:p>
    <w:p>
      <w:pPr>
        <w:pStyle w:val="ListParagraph"/>
        <w:numPr>
          <w:ilvl w:val="0"/>
          <w:numId w:val="1"/>
        </w:numPr>
        <w:spacing w:after="70" w:line="258"/>
      </w:pPr>
      <w:r>
        <w:rPr>
          <w:rFonts w:ascii="Calibri" w:cs="Calibri" w:eastAsia="Calibri" w:hAnsi="Calibri"/>
          <w:color w:val="222222"/>
          <w:sz w:val="20"/>
          <w:szCs w:val="20"/>
        </w:rPr>
        <w:t xml:space="preserve">Provide a single digital registry for all schemes, including PC-I and approval documents.</w:t>
      </w:r>
    </w:p>
    <w:p>
      <w:pPr>
        <w:pStyle w:val="ListParagraph"/>
        <w:numPr>
          <w:ilvl w:val="0"/>
          <w:numId w:val="1"/>
        </w:numPr>
        <w:spacing w:after="70" w:line="258"/>
      </w:pPr>
      <w:r>
        <w:rPr>
          <w:rFonts w:ascii="Calibri" w:cs="Calibri" w:eastAsia="Calibri" w:hAnsi="Calibri"/>
          <w:color w:val="222222"/>
          <w:sz w:val="20"/>
          <w:szCs w:val="20"/>
        </w:rPr>
        <w:t xml:space="preserve">Track scheme locations and boundaries using GIS.</w:t>
      </w:r>
    </w:p>
    <w:p>
      <w:pPr>
        <w:pStyle w:val="ListParagraph"/>
        <w:numPr>
          <w:ilvl w:val="0"/>
          <w:numId w:val="1"/>
        </w:numPr>
        <w:spacing w:after="70" w:line="258"/>
      </w:pPr>
      <w:r>
        <w:rPr>
          <w:rFonts w:ascii="Calibri" w:cs="Calibri" w:eastAsia="Calibri" w:hAnsi="Calibri"/>
          <w:color w:val="222222"/>
          <w:sz w:val="20"/>
          <w:szCs w:val="20"/>
        </w:rPr>
        <w:t xml:space="preserve">Enable inspection dispatch, GPS-verified field visits, and authentic evidence capture.</w:t>
      </w:r>
    </w:p>
    <w:p>
      <w:pPr>
        <w:pStyle w:val="ListParagraph"/>
        <w:numPr>
          <w:ilvl w:val="0"/>
          <w:numId w:val="1"/>
        </w:numPr>
        <w:spacing w:after="70" w:line="258"/>
      </w:pPr>
      <w:r>
        <w:rPr>
          <w:rFonts w:ascii="Calibri" w:cs="Calibri" w:eastAsia="Calibri" w:hAnsi="Calibri"/>
          <w:color w:val="222222"/>
          <w:sz w:val="20"/>
          <w:szCs w:val="20"/>
        </w:rPr>
        <w:t xml:space="preserve">Track financial allocation, releases, and expenditure per scheme.</w:t>
      </w:r>
    </w:p>
    <w:p>
      <w:pPr>
        <w:pStyle w:val="ListParagraph"/>
        <w:numPr>
          <w:ilvl w:val="0"/>
          <w:numId w:val="1"/>
        </w:numPr>
        <w:spacing w:after="70" w:line="258"/>
      </w:pPr>
      <w:r>
        <w:rPr>
          <w:rFonts w:ascii="Calibri" w:cs="Calibri" w:eastAsia="Calibri" w:hAnsi="Calibri"/>
          <w:color w:val="222222"/>
          <w:sz w:val="20"/>
          <w:szCs w:val="20"/>
        </w:rPr>
        <w:t xml:space="preserve">Automatically detect and flag financial-physical variance.</w:t>
      </w:r>
    </w:p>
    <w:p>
      <w:pPr>
        <w:pStyle w:val="ListParagraph"/>
        <w:numPr>
          <w:ilvl w:val="0"/>
          <w:numId w:val="1"/>
        </w:numPr>
        <w:spacing w:after="70" w:line="258"/>
      </w:pPr>
      <w:r>
        <w:rPr>
          <w:rFonts w:ascii="Calibri" w:cs="Calibri" w:eastAsia="Calibri" w:hAnsi="Calibri"/>
          <w:color w:val="222222"/>
          <w:sz w:val="20"/>
          <w:szCs w:val="20"/>
        </w:rPr>
        <w:t xml:space="preserve">Provide consolidated dashboards, alerts, and an auditable activity trail.</w:t>
      </w:r>
    </w:p>
    <w:p>
      <w:pPr>
        <w:pStyle w:val="Heading1"/>
        <w:pBdr>
          <w:bottom w:val="single" w:color="1F3864" w:sz="8" w:space="4"/>
        </w:pBdr>
        <w:spacing w:after="160" w:before="380"/>
      </w:pPr>
      <w:r>
        <w:rPr>
          <w:rFonts w:ascii="Cambria" w:cs="Cambria" w:eastAsia="Cambria" w:hAnsi="Cambria"/>
          <w:b/>
          <w:bCs/>
          <w:color w:val="1F3864"/>
          <w:sz w:val="27"/>
          <w:szCs w:val="27"/>
        </w:rPr>
        <w:t xml:space="preserve">4. Project Scope</w:t>
      </w:r>
    </w:p>
    <w:p>
      <w:pPr>
        <w:pStyle w:val="Heading2"/>
        <w:spacing w:after="110" w:before="240"/>
      </w:pPr>
      <w:r>
        <w:rPr>
          <w:rFonts w:ascii="Cambria" w:cs="Cambria" w:eastAsia="Cambria" w:hAnsi="Cambria"/>
          <w:b/>
          <w:bCs/>
          <w:color w:val="2E5395"/>
          <w:sz w:val="22"/>
          <w:szCs w:val="22"/>
        </w:rPr>
        <w:t xml:space="preserve">4.1 In Scope</w:t>
      </w:r>
    </w:p>
    <w:p>
      <w:pPr>
        <w:pStyle w:val="ListParagraph"/>
        <w:numPr>
          <w:ilvl w:val="0"/>
          <w:numId w:val="1"/>
        </w:numPr>
        <w:spacing w:after="70" w:line="258"/>
      </w:pPr>
      <w:r>
        <w:rPr>
          <w:rFonts w:ascii="Calibri" w:cs="Calibri" w:eastAsia="Calibri" w:hAnsi="Calibri"/>
          <w:color w:val="222222"/>
          <w:sz w:val="20"/>
          <w:szCs w:val="20"/>
        </w:rPr>
        <w:t xml:space="preserve">SIMS: scheme registry, document management, GIS mapping.</w:t>
      </w:r>
    </w:p>
    <w:p>
      <w:pPr>
        <w:pStyle w:val="ListParagraph"/>
        <w:numPr>
          <w:ilvl w:val="0"/>
          <w:numId w:val="1"/>
        </w:numPr>
        <w:spacing w:after="70" w:line="258"/>
      </w:pPr>
      <w:r>
        <w:rPr>
          <w:rFonts w:ascii="Calibri" w:cs="Calibri" w:eastAsia="Calibri" w:hAnsi="Calibri"/>
          <w:color w:val="222222"/>
          <w:sz w:val="20"/>
          <w:szCs w:val="20"/>
        </w:rPr>
        <w:t xml:space="preserve">PMS: inspection dispatch, FMO Field Mode, GPS/geofence verification, live camera + watermarking, milestone progress, issue reporting.</w:t>
      </w:r>
    </w:p>
    <w:p>
      <w:pPr>
        <w:pStyle w:val="ListParagraph"/>
        <w:numPr>
          <w:ilvl w:val="0"/>
          <w:numId w:val="1"/>
        </w:numPr>
        <w:spacing w:after="70" w:line="258"/>
      </w:pPr>
      <w:r>
        <w:rPr>
          <w:rFonts w:ascii="Calibri" w:cs="Calibri" w:eastAsia="Calibri" w:hAnsi="Calibri"/>
          <w:color w:val="222222"/>
          <w:sz w:val="20"/>
          <w:szCs w:val="20"/>
        </w:rPr>
        <w:t xml:space="preserve">Offline-first field capture with background synchronization.</w:t>
      </w:r>
    </w:p>
    <w:p>
      <w:pPr>
        <w:pStyle w:val="ListParagraph"/>
        <w:numPr>
          <w:ilvl w:val="0"/>
          <w:numId w:val="1"/>
        </w:numPr>
        <w:spacing w:after="70" w:line="258"/>
      </w:pPr>
      <w:r>
        <w:rPr>
          <w:rFonts w:ascii="Calibri" w:cs="Calibri" w:eastAsia="Calibri" w:hAnsi="Calibri"/>
          <w:color w:val="222222"/>
          <w:sz w:val="20"/>
          <w:szCs w:val="20"/>
        </w:rPr>
        <w:t xml:space="preserve">Finance Dashboard and the Variance Engine.</w:t>
      </w:r>
    </w:p>
    <w:p>
      <w:pPr>
        <w:pStyle w:val="ListParagraph"/>
        <w:numPr>
          <w:ilvl w:val="0"/>
          <w:numId w:val="1"/>
        </w:numPr>
        <w:spacing w:after="70" w:line="258"/>
      </w:pPr>
      <w:r>
        <w:rPr>
          <w:rFonts w:ascii="Calibri" w:cs="Calibri" w:eastAsia="Calibri" w:hAnsi="Calibri"/>
          <w:color w:val="222222"/>
          <w:sz w:val="20"/>
          <w:szCs w:val="20"/>
        </w:rPr>
        <w:t xml:space="preserve">Executive dashboards, alerts, notifications, and audit logging.</w:t>
      </w:r>
    </w:p>
    <w:p>
      <w:pPr>
        <w:pStyle w:val="Heading2"/>
        <w:spacing w:after="110" w:before="240"/>
      </w:pPr>
      <w:r>
        <w:rPr>
          <w:rFonts w:ascii="Cambria" w:cs="Cambria" w:eastAsia="Cambria" w:hAnsi="Cambria"/>
          <w:b/>
          <w:bCs/>
          <w:color w:val="2E5395"/>
          <w:sz w:val="22"/>
          <w:szCs w:val="22"/>
        </w:rPr>
        <w:t xml:space="preserve">4.2 Out of Scope</w:t>
      </w:r>
    </w:p>
    <w:p>
      <w:pPr>
        <w:pStyle w:val="ListParagraph"/>
        <w:numPr>
          <w:ilvl w:val="0"/>
          <w:numId w:val="1"/>
        </w:numPr>
        <w:spacing w:after="70" w:line="258"/>
      </w:pPr>
      <w:r>
        <w:rPr>
          <w:rFonts w:ascii="Calibri" w:cs="Calibri" w:eastAsia="Calibri" w:hAnsi="Calibri"/>
          <w:color w:val="222222"/>
          <w:sz w:val="20"/>
          <w:szCs w:val="20"/>
        </w:rPr>
        <w:t xml:space="preserve">Direct integration with government treasury or fund-disbursement systems.</w:t>
      </w:r>
    </w:p>
    <w:p>
      <w:pPr>
        <w:pStyle w:val="ListParagraph"/>
        <w:numPr>
          <w:ilvl w:val="0"/>
          <w:numId w:val="1"/>
        </w:numPr>
        <w:spacing w:after="70" w:line="258"/>
      </w:pPr>
      <w:r>
        <w:rPr>
          <w:rFonts w:ascii="Calibri" w:cs="Calibri" w:eastAsia="Calibri" w:hAnsi="Calibri"/>
          <w:color w:val="222222"/>
          <w:sz w:val="20"/>
          <w:szCs w:val="20"/>
        </w:rPr>
        <w:t xml:space="preserve">Automatic transfer or freezing of real government funds.</w:t>
      </w:r>
    </w:p>
    <w:p>
      <w:pPr>
        <w:pStyle w:val="ListParagraph"/>
        <w:numPr>
          <w:ilvl w:val="0"/>
          <w:numId w:val="1"/>
        </w:numPr>
        <w:spacing w:after="70" w:line="258"/>
      </w:pPr>
      <w:r>
        <w:rPr>
          <w:rFonts w:ascii="Calibri" w:cs="Calibri" w:eastAsia="Calibri" w:hAnsi="Calibri"/>
          <w:color w:val="222222"/>
          <w:sz w:val="20"/>
          <w:szCs w:val="20"/>
        </w:rPr>
        <w:t xml:space="preserve">Connection to production government databases or confidential systems.</w:t>
      </w:r>
    </w:p>
    <w:p>
      <w:pPr>
        <w:pStyle w:val="ListParagraph"/>
        <w:numPr>
          <w:ilvl w:val="0"/>
          <w:numId w:val="1"/>
        </w:numPr>
        <w:spacing w:after="70" w:line="258"/>
      </w:pPr>
      <w:r>
        <w:rPr>
          <w:rFonts w:ascii="Calibri" w:cs="Calibri" w:eastAsia="Calibri" w:hAnsi="Calibri"/>
          <w:color w:val="222222"/>
          <w:sz w:val="20"/>
          <w:szCs w:val="20"/>
        </w:rPr>
        <w:t xml:space="preserve">Real government identity infrastructure or legal enforcement actions.</w:t>
      </w:r>
    </w:p>
    <w:p>
      <w:pPr>
        <w:pBdr>
          <w:left w:val="single" w:color="B08D3E" w:sz="18" w:space="8"/>
        </w:pBdr>
        <w:shd w:fill="EEF2F8" w:val="clear"/>
        <w:spacing w:after="160" w:before="60"/>
        <w:ind w:left="100"/>
      </w:pPr>
      <w:r>
        <w:rPr>
          <w:rFonts w:ascii="Calibri" w:cs="Calibri" w:eastAsia="Calibri" w:hAnsi="Calibri"/>
          <w:b/>
          <w:bCs/>
          <w:i/>
          <w:iCs/>
          <w:color w:val="1F3864"/>
          <w:sz w:val="19"/>
          <w:szCs w:val="19"/>
        </w:rPr>
        <w:t xml:space="preserve">Note: </w:t>
      </w:r>
      <w:r>
        <w:rPr>
          <w:rFonts w:ascii="Calibri" w:cs="Calibri" w:eastAsia="Calibri" w:hAnsi="Calibri"/>
          <w:i/>
          <w:iCs/>
          <w:color w:val="444444"/>
          <w:sz w:val="19"/>
          <w:szCs w:val="19"/>
        </w:rPr>
        <w:t xml:space="preserve">Any "fund-freeze" or similarly serious action surfaced by the system is an authorized administrative recommendation requiring human approval — never an automatically executed control over real government funds.</w:t>
      </w:r>
    </w:p>
    <w:p>
      <w:pPr>
        <w:pStyle w:val="Heading1"/>
        <w:pBdr>
          <w:bottom w:val="single" w:color="1F3864" w:sz="8" w:space="4"/>
        </w:pBdr>
        <w:spacing w:after="160" w:before="380"/>
      </w:pPr>
      <w:r>
        <w:rPr>
          <w:rFonts w:ascii="Cambria" w:cs="Cambria" w:eastAsia="Cambria" w:hAnsi="Cambria"/>
          <w:b/>
          <w:bCs/>
          <w:color w:val="1F3864"/>
          <w:sz w:val="27"/>
          <w:szCs w:val="27"/>
        </w:rPr>
        <w:t xml:space="preserve">5. System Overview &amp; Core Modules</w:t>
      </w:r>
    </w:p>
    <w:p>
      <w:pPr>
        <w:spacing w:after="130" w:line="264"/>
        <w:jc w:val="both"/>
      </w:pPr>
      <w:r>
        <w:rPr>
          <w:rFonts w:ascii="Calibri" w:cs="Calibri" w:eastAsia="Calibri" w:hAnsi="Calibri"/>
          <w:color w:val="222222"/>
          <w:sz w:val="20"/>
          <w:szCs w:val="20"/>
        </w:rPr>
        <w:t xml:space="preserve">Every scheme has one centralized record: identity (Scheme ID, sector, department), location (district, division, GPS, boundary), execution details (contractor, engineer, dates), documentation (PC-I, approvals), financials (allocation, releases, expenditure), and monitoring history (progress, inspections, issues, photos).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50"/>
      </w:tblGrid>
      <w:tr>
        <w:trPr>
          <w:tblHeader/>
        </w:trPr>
        <w:tc>
          <w:tcPr>
            <w:tcW w:type="dxa" w:w="210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Module</w:t>
            </w:r>
          </w:p>
        </w:tc>
        <w:tc>
          <w:tcPr>
            <w:tcW w:type="dxa" w:w="725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Function</w:t>
            </w:r>
          </w:p>
        </w:tc>
      </w:tr>
      <w:tr>
        <w:tc>
          <w:tcPr>
            <w:tcW w:type="dxa" w:w="21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SIMS</w:t>
            </w:r>
          </w:p>
        </w:tc>
        <w:tc>
          <w:tcPr>
            <w:tcW w:type="dxa" w:w="72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Centralized scheme registry, document management, and GIS mapping.</w:t>
            </w:r>
          </w:p>
        </w:tc>
      </w:tr>
      <w:tr>
        <w:tc>
          <w:tcPr>
            <w:tcW w:type="dxa" w:w="21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PMS</w:t>
            </w:r>
          </w:p>
        </w:tc>
        <w:tc>
          <w:tcPr>
            <w:tcW w:type="dxa" w:w="72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Inspection dispatch and GPS-verified field progress tracking.</w:t>
            </w:r>
          </w:p>
        </w:tc>
      </w:tr>
      <w:tr>
        <w:tc>
          <w:tcPr>
            <w:tcW w:type="dxa" w:w="21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Finance</w:t>
            </w:r>
          </w:p>
        </w:tc>
        <w:tc>
          <w:tcPr>
            <w:tcW w:type="dxa" w:w="72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Budget allocation, fund releases, and expenditure tracking.</w:t>
            </w:r>
          </w:p>
        </w:tc>
      </w:tr>
      <w:tr>
        <w:tc>
          <w:tcPr>
            <w:tcW w:type="dxa" w:w="21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Variance Engine</w:t>
            </w:r>
          </w:p>
        </w:tc>
        <w:tc>
          <w:tcPr>
            <w:tcW w:type="dxa" w:w="72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Cross-checks financial expenditure against verified physical progress.</w:t>
            </w:r>
          </w:p>
        </w:tc>
      </w:tr>
    </w:tbl>
    <w:p>
      <w:pPr>
        <w:spacing w:after="40" w:before="100"/>
        <w:jc w:val="center"/>
      </w:pPr>
      <w:r>
        <w:drawing>
          <wp:inline distT="0" distB="0" distL="0" distR="0">
            <wp:extent cx="4572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8610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Figure 1 — SIMS, PMS, and Finance share one scheme record that feeds the Variance Engine</w:t>
      </w:r>
    </w:p>
    <w:p>
      <w:pPr>
        <w:pStyle w:val="Heading2"/>
        <w:spacing w:after="110" w:before="240"/>
      </w:pPr>
      <w:r>
        <w:rPr>
          <w:rFonts w:ascii="Cambria" w:cs="Cambria" w:eastAsia="Cambria" w:hAnsi="Cambria"/>
          <w:b/>
          <w:bCs/>
          <w:color w:val="2E5395"/>
          <w:sz w:val="22"/>
          <w:szCs w:val="22"/>
        </w:rPr>
        <w:t xml:space="preserve">5.1 Illustrative Executive Dashboard</w:t>
      </w:r>
    </w:p>
    <w:p>
      <w:pPr>
        <w:spacing w:after="130" w:line="264"/>
        <w:jc w:val="both"/>
      </w:pPr>
      <w:r>
        <w:rPr>
          <w:rFonts w:ascii="Calibri" w:cs="Calibri" w:eastAsia="Calibri" w:hAnsi="Calibri"/>
          <w:color w:val="222222"/>
          <w:sz w:val="20"/>
          <w:szCs w:val="20"/>
        </w:rPr>
        <w:t xml:space="preserve">The mockup below illustrates the kind of at-a-glance KPI view the executive dashboard will present to management, using sample data for illustration only.</w:t>
      </w:r>
    </w:p>
    <w:p>
      <w:pPr>
        <w:spacing w:after="40" w:before="10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146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Figure 2 — Illustrative executive dashboard (sample data, not actual figures)</w:t>
      </w:r>
    </w:p>
    <w:p>
      <w:pPr>
        <w:pStyle w:val="Heading1"/>
        <w:pBdr>
          <w:bottom w:val="single" w:color="1F3864" w:sz="8" w:space="4"/>
        </w:pBdr>
        <w:spacing w:after="160" w:before="380"/>
      </w:pPr>
      <w:r>
        <w:rPr>
          <w:rFonts w:ascii="Cambria" w:cs="Cambria" w:eastAsia="Cambria" w:hAnsi="Cambria"/>
          <w:b/>
          <w:bCs/>
          <w:color w:val="1F3864"/>
          <w:sz w:val="27"/>
          <w:szCs w:val="27"/>
        </w:rPr>
        <w:t xml:space="preserve">6. User Roles &amp; Access Control</w:t>
      </w:r>
    </w:p>
    <w:p>
      <w:pPr>
        <w:spacing w:after="130" w:line="264"/>
        <w:jc w:val="both"/>
      </w:pPr>
      <w:r>
        <w:rPr>
          <w:rFonts w:ascii="Calibri" w:cs="Calibri" w:eastAsia="Calibri" w:hAnsi="Calibri"/>
          <w:color w:val="222222"/>
          <w:sz w:val="20"/>
          <w:szCs w:val="20"/>
        </w:rPr>
        <w:t xml:space="preserve">The application is fully role-based: after login it renders the dashboard, navigation, and actions appropriate to the authenticated user's role.</w:t>
      </w:r>
    </w:p>
    <w:p>
      <w:pPr>
        <w:spacing w:after="200" w:before="140"/>
        <w:jc w:val="center"/>
      </w:pPr>
      <w:r>
        <w:rPr>
          <w:rFonts w:ascii="Calibri" w:cs="Calibri" w:eastAsia="Calibri" w:hAnsi="Calibri"/>
          <w:b/>
          <w:bCs/>
          <w:color w:val="FFFFFF"/>
          <w:sz w:val="18"/>
          <w:szCs w:val="18"/>
          <w:shd w:fill="1F3864" w:val="clear"/>
        </w:rPr>
        <w:t xml:space="preserve">P&amp;D / MEC Central</w:t>
      </w:r>
      <w:r>
        <w:rPr>
          <w:rFonts w:ascii="Calibri" w:cs="Calibri" w:eastAsia="Calibri" w:hAnsi="Calibri"/>
          <w:b/>
          <w:bCs/>
          <w:color w:val="1F3864"/>
          <w:sz w:val="18"/>
          <w:szCs w:val="18"/>
        </w:rPr>
        <w:t xml:space="preserve">  →  </w:t>
      </w:r>
      <w:r>
        <w:rPr>
          <w:rFonts w:ascii="Calibri" w:cs="Calibri" w:eastAsia="Calibri" w:hAnsi="Calibri"/>
          <w:b/>
          <w:bCs/>
          <w:color w:val="FFFFFF"/>
          <w:sz w:val="18"/>
          <w:szCs w:val="18"/>
          <w:shd w:fill="2E5395" w:val="clear"/>
        </w:rPr>
        <w:t xml:space="preserve">Line Department Head</w:t>
      </w:r>
      <w:r>
        <w:rPr>
          <w:rFonts w:ascii="Calibri" w:cs="Calibri" w:eastAsia="Calibri" w:hAnsi="Calibri"/>
          <w:b/>
          <w:bCs/>
          <w:color w:val="1F3864"/>
          <w:sz w:val="18"/>
          <w:szCs w:val="18"/>
        </w:rPr>
        <w:t xml:space="preserve">  →  </w:t>
      </w:r>
      <w:r>
        <w:rPr>
          <w:rFonts w:ascii="Calibri" w:cs="Calibri" w:eastAsia="Calibri" w:hAnsi="Calibri"/>
          <w:b/>
          <w:bCs/>
          <w:color w:val="FFFFFF"/>
          <w:sz w:val="18"/>
          <w:szCs w:val="18"/>
          <w:shd w:fill="2E5395" w:val="clear"/>
        </w:rPr>
        <w:t xml:space="preserve">Regional Director</w:t>
      </w:r>
      <w:r>
        <w:rPr>
          <w:rFonts w:ascii="Calibri" w:cs="Calibri" w:eastAsia="Calibri" w:hAnsi="Calibri"/>
          <w:b/>
          <w:bCs/>
          <w:color w:val="1F3864"/>
          <w:sz w:val="18"/>
          <w:szCs w:val="18"/>
        </w:rPr>
        <w:t xml:space="preserve">  →  </w:t>
      </w:r>
      <w:r>
        <w:rPr>
          <w:rFonts w:ascii="Calibri" w:cs="Calibri" w:eastAsia="Calibri" w:hAnsi="Calibri"/>
          <w:b/>
          <w:bCs/>
          <w:color w:val="FFFFFF"/>
          <w:sz w:val="18"/>
          <w:szCs w:val="18"/>
          <w:shd w:fill="B08D3E" w:val="clear"/>
        </w:rPr>
        <w:t xml:space="preserve">Field Monitoring Officer</w:t>
      </w:r>
    </w:p>
    <w:p>
      <w:pPr>
        <w:spacing w:after="40" w:before="100"/>
        <w:jc w:val="center"/>
      </w:pPr>
      <w:r>
        <w:drawing>
          <wp:inline distT="0" distB="0" distL="0" distR="0">
            <wp:extent cx="5143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575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Figure 3 — Role hierarchy and information flow</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rPr>
          <w:tblHeader/>
        </w:trPr>
        <w:tc>
          <w:tcPr>
            <w:tcW w:type="dxa" w:w="260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Role</w:t>
            </w:r>
          </w:p>
        </w:tc>
        <w:tc>
          <w:tcPr>
            <w:tcW w:type="dxa" w:w="675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Primary Responsibilities</w:t>
            </w:r>
          </w:p>
        </w:tc>
      </w:tr>
      <w:tr>
        <w:tc>
          <w:tcPr>
            <w:tcW w:type="dxa" w:w="26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P&amp;D / MEC Central</w:t>
            </w:r>
          </w:p>
        </w:tc>
        <w:tc>
          <w:tcPr>
            <w:tcW w:type="dxa" w:w="67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Province-wide KPIs, GIS map, financial summaries, red flags, escalations, and management reports.</w:t>
            </w:r>
          </w:p>
        </w:tc>
      </w:tr>
      <w:tr>
        <w:tc>
          <w:tcPr>
            <w:tcW w:type="dxa" w:w="26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Line Department Head</w:t>
            </w:r>
          </w:p>
        </w:tc>
        <w:tc>
          <w:tcPr>
            <w:tcW w:type="dxa" w:w="67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Monitors sector-specific schemes, reviews inspection reports and discrepancy notices.</w:t>
            </w:r>
          </w:p>
        </w:tc>
      </w:tr>
      <w:tr>
        <w:tc>
          <w:tcPr>
            <w:tcW w:type="dxa" w:w="26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Regional / Divisional Director</w:t>
            </w:r>
          </w:p>
        </w:tc>
        <w:tc>
          <w:tcPr>
            <w:tcW w:type="dxa" w:w="67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Assigns inspections, sets deadlines, reviews submitted reports, escalates issues.</w:t>
            </w:r>
          </w:p>
        </w:tc>
      </w:tr>
      <w:tr>
        <w:tc>
          <w:tcPr>
            <w:tcW w:type="dxa" w:w="26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Field Monitoring Officer (FMO)</w:t>
            </w:r>
          </w:p>
        </w:tc>
        <w:tc>
          <w:tcPr>
            <w:tcW w:type="dxa" w:w="67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Conducts GPS-verified field inspections, captures evidence, submits reports; can work offline.</w:t>
            </w:r>
          </w:p>
        </w:tc>
      </w:tr>
    </w:tbl>
    <w:p>
      <w:r>
        <w:br w:type="page"/>
      </w:r>
    </w:p>
    <w:p>
      <w:pPr>
        <w:pStyle w:val="Heading1"/>
        <w:pBdr>
          <w:bottom w:val="single" w:color="1F3864" w:sz="8" w:space="4"/>
        </w:pBdr>
        <w:spacing w:after="160" w:before="380"/>
      </w:pPr>
      <w:r>
        <w:rPr>
          <w:rFonts w:ascii="Cambria" w:cs="Cambria" w:eastAsia="Cambria" w:hAnsi="Cambria"/>
          <w:b/>
          <w:bCs/>
          <w:color w:val="1F3864"/>
          <w:sz w:val="27"/>
          <w:szCs w:val="27"/>
        </w:rPr>
        <w:t xml:space="preserve">7. End-to-End Workflow</w:t>
      </w:r>
    </w:p>
    <w:p>
      <w:pPr>
        <w:spacing w:after="130" w:line="264"/>
        <w:jc w:val="both"/>
      </w:pPr>
      <w:r>
        <w:rPr>
          <w:rFonts w:ascii="Calibri" w:cs="Calibri" w:eastAsia="Calibri" w:hAnsi="Calibri"/>
          <w:color w:val="222222"/>
          <w:sz w:val="20"/>
          <w:szCs w:val="20"/>
        </w:rPr>
        <w:t xml:space="preserve">The complete scheme lifecycle — from registration to continued monitoring — is the ecosystem's central business process.</w:t>
      </w:r>
    </w:p>
    <w:p>
      <w:pPr>
        <w:pBdr>
          <w:top w:val="single" w:color="1F3864" w:sz="4"/>
          <w:bottom w:val="single" w:color="1F3864" w:sz="4"/>
          <w:left w:val="single" w:color="1F3864" w:sz="4"/>
          <w:right w:val="single" w:color="1F3864" w:sz="4"/>
        </w:pBdr>
        <w:shd w:fill="1F3864" w:val="clear"/>
        <w:spacing w:after="0" w:before="100"/>
        <w:jc w:val="center"/>
      </w:pPr>
      <w:r>
        <w:rPr>
          <w:rFonts w:ascii="Calibri" w:cs="Calibri" w:eastAsia="Calibri" w:hAnsi="Calibri"/>
          <w:b/>
          <w:bCs/>
          <w:color w:val="FFFFFF"/>
          <w:sz w:val="19"/>
          <w:szCs w:val="19"/>
        </w:rPr>
        <w:t xml:space="preserve">Scheme Registration → P&amp;D Approval → ADP Allocation → Finance Release</w:t>
      </w:r>
    </w:p>
    <w:p>
      <w:pPr>
        <w:spacing w:after="15" w:before="15"/>
        <w:jc w:val="center"/>
      </w:pPr>
      <w:r>
        <w:rPr>
          <w:rFonts w:ascii="Calibri" w:cs="Calibri" w:eastAsia="Calibri" w:hAnsi="Calibri"/>
          <w:b/>
          <w:bCs/>
          <w:color w:val="1F3864"/>
          <w:sz w:val="24"/>
          <w:szCs w:val="24"/>
        </w:rPr>
        <w:t xml:space="preserve">↓</w:t>
      </w:r>
    </w:p>
    <w:p>
      <w:pPr>
        <w:pBdr>
          <w:top w:val="single" w:color="2E5395" w:sz="4"/>
          <w:bottom w:val="single" w:color="2E5395" w:sz="4"/>
          <w:left w:val="single" w:color="2E5395" w:sz="4"/>
          <w:right w:val="single" w:color="2E5395" w:sz="4"/>
        </w:pBdr>
        <w:shd w:fill="2E5395" w:val="clear"/>
        <w:spacing w:after="0" w:before="30"/>
        <w:jc w:val="center"/>
      </w:pPr>
      <w:r>
        <w:rPr>
          <w:rFonts w:ascii="Calibri" w:cs="Calibri" w:eastAsia="Calibri" w:hAnsi="Calibri"/>
          <w:b/>
          <w:bCs/>
          <w:color w:val="FFFFFF"/>
          <w:sz w:val="19"/>
          <w:szCs w:val="19"/>
        </w:rPr>
        <w:t xml:space="preserve">Contractor Starts Work → Inspection Assignment</w:t>
      </w:r>
    </w:p>
    <w:p>
      <w:pPr>
        <w:spacing w:after="15" w:before="15"/>
        <w:jc w:val="center"/>
      </w:pPr>
      <w:r>
        <w:rPr>
          <w:rFonts w:ascii="Calibri" w:cs="Calibri" w:eastAsia="Calibri" w:hAnsi="Calibri"/>
          <w:b/>
          <w:bCs/>
          <w:color w:val="1F3864"/>
          <w:sz w:val="24"/>
          <w:szCs w:val="24"/>
        </w:rPr>
        <w:t xml:space="preserve">↓</w:t>
      </w:r>
    </w:p>
    <w:p>
      <w:pPr>
        <w:pBdr>
          <w:top w:val="single" w:color="2E5395" w:sz="4"/>
          <w:bottom w:val="single" w:color="2E5395" w:sz="4"/>
          <w:left w:val="single" w:color="2E5395" w:sz="4"/>
          <w:right w:val="single" w:color="2E5395" w:sz="4"/>
        </w:pBdr>
        <w:shd w:fill="2E5395" w:val="clear"/>
        <w:spacing w:after="0" w:before="30"/>
        <w:jc w:val="center"/>
      </w:pPr>
      <w:r>
        <w:rPr>
          <w:rFonts w:ascii="Calibri" w:cs="Calibri" w:eastAsia="Calibri" w:hAnsi="Calibri"/>
          <w:b/>
          <w:bCs/>
          <w:color w:val="FFFFFF"/>
          <w:sz w:val="19"/>
          <w:szCs w:val="19"/>
        </w:rPr>
        <w:t xml:space="preserve">FMO Travels to Site → GPS / Geofence Verification</w:t>
      </w:r>
    </w:p>
    <w:p>
      <w:pPr>
        <w:spacing w:after="15" w:before="15"/>
        <w:jc w:val="center"/>
      </w:pPr>
      <w:r>
        <w:rPr>
          <w:rFonts w:ascii="Calibri" w:cs="Calibri" w:eastAsia="Calibri" w:hAnsi="Calibri"/>
          <w:b/>
          <w:bCs/>
          <w:color w:val="1F3864"/>
          <w:sz w:val="24"/>
          <w:szCs w:val="24"/>
        </w:rPr>
        <w:t xml:space="preserve">↓</w:t>
      </w:r>
    </w:p>
    <w:p>
      <w:pPr>
        <w:pBdr>
          <w:top w:val="single" w:color="B08D3E" w:sz="4"/>
          <w:bottom w:val="single" w:color="B08D3E" w:sz="4"/>
          <w:left w:val="single" w:color="B08D3E" w:sz="4"/>
          <w:right w:val="single" w:color="B08D3E" w:sz="4"/>
        </w:pBdr>
        <w:shd w:fill="B08D3E" w:val="clear"/>
        <w:spacing w:after="0" w:before="30"/>
        <w:jc w:val="center"/>
      </w:pPr>
      <w:r>
        <w:rPr>
          <w:rFonts w:ascii="Calibri" w:cs="Calibri" w:eastAsia="Calibri" w:hAnsi="Calibri"/>
          <w:b/>
          <w:bCs/>
          <w:color w:val="FFFFFF"/>
          <w:sz w:val="19"/>
          <w:szCs w:val="19"/>
        </w:rPr>
        <w:t xml:space="preserve">Field Inspection: Live Photos · Milestone Progress · Remarks / Issues</w:t>
      </w:r>
    </w:p>
    <w:p>
      <w:pPr>
        <w:spacing w:after="15" w:before="15"/>
        <w:jc w:val="center"/>
      </w:pPr>
      <w:r>
        <w:rPr>
          <w:rFonts w:ascii="Calibri" w:cs="Calibri" w:eastAsia="Calibri" w:hAnsi="Calibri"/>
          <w:b/>
          <w:bCs/>
          <w:color w:val="1F3864"/>
          <w:sz w:val="24"/>
          <w:szCs w:val="24"/>
        </w:rPr>
        <w:t xml:space="preserve">↓</w:t>
      </w:r>
    </w:p>
    <w:p>
      <w:pPr>
        <w:pBdr>
          <w:top w:val="single" w:color="2E5395" w:sz="4"/>
          <w:bottom w:val="single" w:color="2E5395" w:sz="4"/>
          <w:left w:val="single" w:color="2E5395" w:sz="4"/>
          <w:right w:val="single" w:color="2E5395" w:sz="4"/>
        </w:pBdr>
        <w:shd w:fill="2E5395" w:val="clear"/>
        <w:spacing w:after="0" w:before="30"/>
        <w:jc w:val="center"/>
      </w:pPr>
      <w:r>
        <w:rPr>
          <w:rFonts w:ascii="Calibri" w:cs="Calibri" w:eastAsia="Calibri" w:hAnsi="Calibri"/>
          <w:b/>
          <w:bCs/>
          <w:color w:val="FFFFFF"/>
          <w:sz w:val="19"/>
          <w:szCs w:val="19"/>
        </w:rPr>
        <w:t xml:space="preserve">Inspection Submission → Management Review</w:t>
      </w:r>
    </w:p>
    <w:p>
      <w:pPr>
        <w:spacing w:after="15" w:before="15"/>
        <w:jc w:val="center"/>
      </w:pPr>
      <w:r>
        <w:rPr>
          <w:rFonts w:ascii="Calibri" w:cs="Calibri" w:eastAsia="Calibri" w:hAnsi="Calibri"/>
          <w:b/>
          <w:bCs/>
          <w:color w:val="1F3864"/>
          <w:sz w:val="24"/>
          <w:szCs w:val="24"/>
        </w:rPr>
        <w:t xml:space="preserve">↓</w:t>
      </w:r>
    </w:p>
    <w:p>
      <w:pPr>
        <w:pBdr>
          <w:top w:val="single" w:color="B93A32" w:sz="4"/>
          <w:bottom w:val="single" w:color="B93A32" w:sz="4"/>
          <w:left w:val="single" w:color="B93A32" w:sz="4"/>
          <w:right w:val="single" w:color="B93A32" w:sz="4"/>
        </w:pBdr>
        <w:shd w:fill="B93A32" w:val="clear"/>
        <w:spacing w:after="0" w:before="30"/>
        <w:jc w:val="center"/>
      </w:pPr>
      <w:r>
        <w:rPr>
          <w:rFonts w:ascii="Calibri" w:cs="Calibri" w:eastAsia="Calibri" w:hAnsi="Calibri"/>
          <w:b/>
          <w:bCs/>
          <w:color w:val="FFFFFF"/>
          <w:sz w:val="19"/>
          <w:szCs w:val="19"/>
        </w:rPr>
        <w:t xml:space="preserve">Financial vs. Physical Cross-Verification → Variance Detection</w:t>
      </w:r>
    </w:p>
    <w:p>
      <w:pPr>
        <w:spacing w:after="15" w:before="15"/>
        <w:jc w:val="center"/>
      </w:pPr>
      <w:r>
        <w:rPr>
          <w:rFonts w:ascii="Calibri" w:cs="Calibri" w:eastAsia="Calibri" w:hAnsi="Calibri"/>
          <w:b/>
          <w:bCs/>
          <w:color w:val="1F3864"/>
          <w:sz w:val="24"/>
          <w:szCs w:val="24"/>
        </w:rPr>
        <w:t xml:space="preserve">↓</w:t>
      </w:r>
    </w:p>
    <w:p>
      <w:pPr>
        <w:pBdr>
          <w:top w:val="single" w:color="3C7A45" w:sz="4"/>
          <w:bottom w:val="single" w:color="3C7A45" w:sz="4"/>
          <w:left w:val="single" w:color="3C7A45" w:sz="4"/>
          <w:right w:val="single" w:color="3C7A45" w:sz="4"/>
        </w:pBdr>
        <w:shd w:fill="3C7A45" w:val="clear"/>
        <w:spacing w:after="0" w:before="30"/>
        <w:jc w:val="center"/>
      </w:pPr>
      <w:r>
        <w:rPr>
          <w:rFonts w:ascii="Calibri" w:cs="Calibri" w:eastAsia="Calibri" w:hAnsi="Calibri"/>
          <w:b/>
          <w:bCs/>
          <w:color w:val="FFFFFF"/>
          <w:sz w:val="19"/>
          <w:szCs w:val="19"/>
        </w:rPr>
        <w:t xml:space="preserve">Alert / Escalation → Continued Monitoring / Administrative Action</w:t>
      </w:r>
    </w:p>
    <w:p>
      <w:pPr>
        <w:spacing w:after="200"/>
      </w:pPr>
    </w:p>
    <w:p>
      <w:pPr>
        <w:spacing w:after="220"/>
        <w:jc w:val="center"/>
      </w:pPr>
      <w:r>
        <w:rPr>
          <w:rFonts w:ascii="Calibri" w:cs="Calibri" w:eastAsia="Calibri" w:hAnsi="Calibri"/>
          <w:i/>
          <w:iCs/>
          <w:color w:val="595959"/>
          <w:sz w:val="17"/>
          <w:szCs w:val="17"/>
        </w:rPr>
        <w:t xml:space="preserve">Figure 4 — End-to-end scheme lifecycle</w:t>
      </w:r>
    </w:p>
    <w:p>
      <w:pPr>
        <w:pStyle w:val="Heading1"/>
        <w:pBdr>
          <w:bottom w:val="single" w:color="1F3864" w:sz="8" w:space="4"/>
        </w:pBdr>
        <w:spacing w:after="160" w:before="380"/>
      </w:pPr>
      <w:r>
        <w:rPr>
          <w:rFonts w:ascii="Cambria" w:cs="Cambria" w:eastAsia="Cambria" w:hAnsi="Cambria"/>
          <w:b/>
          <w:bCs/>
          <w:color w:val="1F3864"/>
          <w:sz w:val="27"/>
          <w:szCs w:val="27"/>
        </w:rPr>
        <w:t xml:space="preserve">8. Mobile Application &amp; FMO Field Workflow</w:t>
      </w:r>
    </w:p>
    <w:p>
      <w:pPr>
        <w:spacing w:after="130" w:line="264"/>
        <w:jc w:val="both"/>
      </w:pPr>
      <w:r>
        <w:rPr>
          <w:rFonts w:ascii="Calibri" w:cs="Calibri" w:eastAsia="Calibri" w:hAnsi="Calibri"/>
          <w:color w:val="222222"/>
          <w:sz w:val="20"/>
          <w:szCs w:val="20"/>
        </w:rPr>
        <w:t xml:space="preserve">The entire ecosystem is delivered through one unified React Native application. Screens, data, and actions adapt automatically to the logged-in user's role — SIMS, PMS, Finance, and FMO Mode are all part of the same app, not separate applications.</w:t>
      </w:r>
    </w:p>
    <w:p>
      <w:pPr>
        <w:pStyle w:val="Heading2"/>
        <w:spacing w:after="110" w:before="240"/>
      </w:pPr>
      <w:r>
        <w:rPr>
          <w:rFonts w:ascii="Cambria" w:cs="Cambria" w:eastAsia="Cambria" w:hAnsi="Cambria"/>
          <w:b/>
          <w:bCs/>
          <w:color w:val="2E5395"/>
          <w:sz w:val="22"/>
          <w:szCs w:val="22"/>
        </w:rPr>
        <w:t xml:space="preserve">FMO Field Inspection Flow</w:t>
      </w:r>
    </w:p>
    <w:p>
      <w:pPr>
        <w:pBdr>
          <w:top w:val="single" w:color="1F3864" w:sz="4"/>
          <w:bottom w:val="single" w:color="1F3864" w:sz="4"/>
          <w:left w:val="single" w:color="1F3864" w:sz="4"/>
          <w:right w:val="single" w:color="1F3864" w:sz="4"/>
        </w:pBdr>
        <w:shd w:fill="1F3864" w:val="clear"/>
        <w:spacing w:after="0" w:before="100"/>
        <w:jc w:val="center"/>
      </w:pPr>
      <w:r>
        <w:rPr>
          <w:rFonts w:ascii="Calibri" w:cs="Calibri" w:eastAsia="Calibri" w:hAnsi="Calibri"/>
          <w:b/>
          <w:bCs/>
          <w:color w:val="FFFFFF"/>
          <w:sz w:val="19"/>
          <w:szCs w:val="19"/>
        </w:rPr>
        <w:t xml:space="preserve">Login → My Tasks → Select Assigned Project</w:t>
      </w:r>
    </w:p>
    <w:p>
      <w:pPr>
        <w:spacing w:after="15" w:before="15"/>
        <w:jc w:val="center"/>
      </w:pPr>
      <w:r>
        <w:rPr>
          <w:rFonts w:ascii="Calibri" w:cs="Calibri" w:eastAsia="Calibri" w:hAnsi="Calibri"/>
          <w:b/>
          <w:bCs/>
          <w:color w:val="1F3864"/>
          <w:sz w:val="24"/>
          <w:szCs w:val="24"/>
        </w:rPr>
        <w:t xml:space="preserve">↓</w:t>
      </w:r>
    </w:p>
    <w:p>
      <w:pPr>
        <w:pBdr>
          <w:top w:val="single" w:color="2E5395" w:sz="4"/>
          <w:bottom w:val="single" w:color="2E5395" w:sz="4"/>
          <w:left w:val="single" w:color="2E5395" w:sz="4"/>
          <w:right w:val="single" w:color="2E5395" w:sz="4"/>
        </w:pBdr>
        <w:shd w:fill="2E5395" w:val="clear"/>
        <w:spacing w:after="0" w:before="30"/>
        <w:jc w:val="center"/>
      </w:pPr>
      <w:r>
        <w:rPr>
          <w:rFonts w:ascii="Calibri" w:cs="Calibri" w:eastAsia="Calibri" w:hAnsi="Calibri"/>
          <w:b/>
          <w:bCs/>
          <w:color w:val="FFFFFF"/>
          <w:sz w:val="19"/>
          <w:szCs w:val="19"/>
        </w:rPr>
        <w:t xml:space="preserve">Navigate to Site → GPS Verification</w:t>
      </w:r>
    </w:p>
    <w:p>
      <w:pPr>
        <w:spacing w:after="15" w:before="15"/>
        <w:jc w:val="center"/>
      </w:pPr>
      <w:r>
        <w:rPr>
          <w:rFonts w:ascii="Calibri" w:cs="Calibri" w:eastAsia="Calibri" w:hAnsi="Calibri"/>
          <w:b/>
          <w:bCs/>
          <w:color w:val="1F3864"/>
          <w:sz w:val="24"/>
          <w:szCs w:val="24"/>
        </w:rPr>
        <w:t xml:space="preserve">↓</w:t>
      </w:r>
    </w:p>
    <w:p>
      <w:pPr>
        <w:pBdr>
          <w:top w:val="single" w:color="B08D3E" w:sz="4"/>
          <w:bottom w:val="single" w:color="B08D3E" w:sz="4"/>
          <w:left w:val="single" w:color="B08D3E" w:sz="4"/>
          <w:right w:val="single" w:color="B08D3E" w:sz="4"/>
        </w:pBdr>
        <w:shd w:fill="B08D3E" w:val="clear"/>
        <w:spacing w:after="0" w:before="30"/>
        <w:jc w:val="center"/>
      </w:pPr>
      <w:r>
        <w:rPr>
          <w:rFonts w:ascii="Calibri" w:cs="Calibri" w:eastAsia="Calibri" w:hAnsi="Calibri"/>
          <w:b/>
          <w:bCs/>
          <w:color w:val="FFFFFF"/>
          <w:sz w:val="19"/>
          <w:szCs w:val="19"/>
        </w:rPr>
        <w:t xml:space="preserve">Start Inspection → Live Camera Capture (Auto-Watermarked)</w:t>
      </w:r>
    </w:p>
    <w:p>
      <w:pPr>
        <w:spacing w:after="15" w:before="15"/>
        <w:jc w:val="center"/>
      </w:pPr>
      <w:r>
        <w:rPr>
          <w:rFonts w:ascii="Calibri" w:cs="Calibri" w:eastAsia="Calibri" w:hAnsi="Calibri"/>
          <w:b/>
          <w:bCs/>
          <w:color w:val="1F3864"/>
          <w:sz w:val="24"/>
          <w:szCs w:val="24"/>
        </w:rPr>
        <w:t xml:space="preserve">↓</w:t>
      </w:r>
    </w:p>
    <w:p>
      <w:pPr>
        <w:pBdr>
          <w:top w:val="single" w:color="B08D3E" w:sz="4"/>
          <w:bottom w:val="single" w:color="B08D3E" w:sz="4"/>
          <w:left w:val="single" w:color="B08D3E" w:sz="4"/>
          <w:right w:val="single" w:color="B08D3E" w:sz="4"/>
        </w:pBdr>
        <w:shd w:fill="B08D3E" w:val="clear"/>
        <w:spacing w:after="0" w:before="30"/>
        <w:jc w:val="center"/>
      </w:pPr>
      <w:r>
        <w:rPr>
          <w:rFonts w:ascii="Calibri" w:cs="Calibri" w:eastAsia="Calibri" w:hAnsi="Calibri"/>
          <w:b/>
          <w:bCs/>
          <w:color w:val="FFFFFF"/>
          <w:sz w:val="19"/>
          <w:szCs w:val="19"/>
        </w:rPr>
        <w:t xml:space="preserve">Milestone Progress → Remarks → Issues</w:t>
      </w:r>
    </w:p>
    <w:p>
      <w:pPr>
        <w:spacing w:after="15" w:before="15"/>
        <w:jc w:val="center"/>
      </w:pPr>
      <w:r>
        <w:rPr>
          <w:rFonts w:ascii="Calibri" w:cs="Calibri" w:eastAsia="Calibri" w:hAnsi="Calibri"/>
          <w:b/>
          <w:bCs/>
          <w:color w:val="1F3864"/>
          <w:sz w:val="24"/>
          <w:szCs w:val="24"/>
        </w:rPr>
        <w:t xml:space="preserve">↓</w:t>
      </w:r>
    </w:p>
    <w:p>
      <w:pPr>
        <w:pBdr>
          <w:top w:val="single" w:color="3C7A45" w:sz="4"/>
          <w:bottom w:val="single" w:color="3C7A45" w:sz="4"/>
          <w:left w:val="single" w:color="3C7A45" w:sz="4"/>
          <w:right w:val="single" w:color="3C7A45" w:sz="4"/>
        </w:pBdr>
        <w:shd w:fill="3C7A45" w:val="clear"/>
        <w:spacing w:after="0" w:before="30"/>
        <w:jc w:val="center"/>
      </w:pPr>
      <w:r>
        <w:rPr>
          <w:rFonts w:ascii="Calibri" w:cs="Calibri" w:eastAsia="Calibri" w:hAnsi="Calibri"/>
          <w:b/>
          <w:bCs/>
          <w:color w:val="FFFFFF"/>
          <w:sz w:val="19"/>
          <w:szCs w:val="19"/>
        </w:rPr>
        <w:t xml:space="preserve">Review &amp; Submit → Server Sync (or Offline Queue)</w:t>
      </w:r>
    </w:p>
    <w:p>
      <w:pPr>
        <w:spacing w:after="200"/>
      </w:pPr>
    </w:p>
    <w:p>
      <w:pPr>
        <w:spacing w:after="220"/>
        <w:jc w:val="center"/>
      </w:pPr>
      <w:r>
        <w:rPr>
          <w:rFonts w:ascii="Calibri" w:cs="Calibri" w:eastAsia="Calibri" w:hAnsi="Calibri"/>
          <w:i/>
          <w:iCs/>
          <w:color w:val="595959"/>
          <w:sz w:val="17"/>
          <w:szCs w:val="17"/>
        </w:rPr>
        <w:t xml:space="preserve">Figure 5 — FMO field inspection lifecycle</w:t>
      </w:r>
    </w:p>
    <w:p>
      <w:pPr>
        <w:pBdr>
          <w:left w:val="single" w:color="B08D3E" w:sz="18" w:space="8"/>
        </w:pBdr>
        <w:shd w:fill="EEF2F8" w:val="clear"/>
        <w:spacing w:after="160" w:before="60"/>
        <w:ind w:left="100"/>
      </w:pPr>
      <w:r>
        <w:rPr>
          <w:rFonts w:ascii="Calibri" w:cs="Calibri" w:eastAsia="Calibri" w:hAnsi="Calibri"/>
          <w:b/>
          <w:bCs/>
          <w:i/>
          <w:iCs/>
          <w:color w:val="1F3864"/>
          <w:sz w:val="19"/>
          <w:szCs w:val="19"/>
        </w:rPr>
        <w:t xml:space="preserve">Note: </w:t>
      </w:r>
      <w:r>
        <w:rPr>
          <w:rFonts w:ascii="Calibri" w:cs="Calibri" w:eastAsia="Calibri" w:hAnsi="Calibri"/>
          <w:i/>
          <w:iCs/>
          <w:color w:val="444444"/>
          <w:sz w:val="19"/>
          <w:szCs w:val="19"/>
        </w:rPr>
        <w:t xml:space="preserve">Not every role can access every screen — visibility and available actions are governed by role-based permissions (Section 6). FMO Mode is only accessible to users with the Field Monitoring Officer role.</w:t>
      </w:r>
    </w:p>
    <w:p>
      <w:pPr>
        <w:pStyle w:val="Heading1"/>
        <w:pBdr>
          <w:bottom w:val="single" w:color="1F3864" w:sz="8" w:space="4"/>
        </w:pBdr>
        <w:spacing w:after="160" w:before="380"/>
      </w:pPr>
      <w:r>
        <w:rPr>
          <w:rFonts w:ascii="Cambria" w:cs="Cambria" w:eastAsia="Cambria" w:hAnsi="Cambria"/>
          <w:b/>
          <w:bCs/>
          <w:color w:val="1F3864"/>
          <w:sz w:val="27"/>
          <w:szCs w:val="27"/>
        </w:rPr>
        <w:t xml:space="preserve">9. Location Verification &amp; Field Evidence Security</w:t>
      </w:r>
    </w:p>
    <w:p>
      <w:pPr>
        <w:pStyle w:val="Heading2"/>
        <w:spacing w:after="110" w:before="240"/>
      </w:pPr>
      <w:r>
        <w:rPr>
          <w:rFonts w:ascii="Cambria" w:cs="Cambria" w:eastAsia="Cambria" w:hAnsi="Cambria"/>
          <w:b/>
          <w:bCs/>
          <w:color w:val="2E5395"/>
          <w:sz w:val="22"/>
          <w:szCs w:val="22"/>
        </w:rPr>
        <w:t xml:space="preserve">9.1 Geo-Fencing</w:t>
      </w:r>
    </w:p>
    <w:p>
      <w:pPr>
        <w:spacing w:after="130" w:line="264"/>
        <w:jc w:val="both"/>
      </w:pPr>
      <w:r>
        <w:rPr>
          <w:rFonts w:ascii="Calibri" w:cs="Calibri" w:eastAsia="Calibri" w:hAnsi="Calibri"/>
          <w:color w:val="222222"/>
          <w:sz w:val="20"/>
          <w:szCs w:val="20"/>
        </w:rPr>
        <w:t xml:space="preserve">During inspection, the app compares the FMO's live GPS position against the scheme's registered coordinate in SIMS. Submission unlocks only within a configurable proximity threshold, proposed at approximately 50 meters.</w:t>
      </w:r>
    </w:p>
    <w:p>
      <w:pPr>
        <w:pStyle w:val="Heading2"/>
        <w:spacing w:after="110" w:before="240"/>
      </w:pPr>
      <w:r>
        <w:rPr>
          <w:rFonts w:ascii="Cambria" w:cs="Cambria" w:eastAsia="Cambria" w:hAnsi="Cambria"/>
          <w:b/>
          <w:bCs/>
          <w:color w:val="2E5395"/>
          <w:sz w:val="22"/>
          <w:szCs w:val="22"/>
        </w:rPr>
        <w:t xml:space="preserve">9.2 Evidence Capture</w:t>
      </w:r>
    </w:p>
    <w:p>
      <w:pPr>
        <w:pStyle w:val="ListParagraph"/>
        <w:numPr>
          <w:ilvl w:val="0"/>
          <w:numId w:val="1"/>
        </w:numPr>
        <w:spacing w:after="70" w:line="258"/>
      </w:pPr>
      <w:r>
        <w:rPr>
          <w:rFonts w:ascii="Calibri" w:cs="Calibri" w:eastAsia="Calibri" w:hAnsi="Calibri"/>
          <w:color w:val="222222"/>
          <w:sz w:val="20"/>
          <w:szCs w:val="20"/>
        </w:rPr>
        <w:t xml:space="preserve">Photos are captured via the in-app live camera only — gallery uploads are not accepted as evidence.</w:t>
      </w:r>
    </w:p>
    <w:p>
      <w:pPr>
        <w:pStyle w:val="ListParagraph"/>
        <w:numPr>
          <w:ilvl w:val="0"/>
          <w:numId w:val="1"/>
        </w:numPr>
        <w:spacing w:after="70" w:line="258"/>
      </w:pPr>
      <w:r>
        <w:rPr>
          <w:rFonts w:ascii="Calibri" w:cs="Calibri" w:eastAsia="Calibri" w:hAnsi="Calibri"/>
          <w:color w:val="222222"/>
          <w:sz w:val="20"/>
          <w:szCs w:val="20"/>
        </w:rPr>
        <w:t xml:space="preserve">Each photo is automatically watermarked with Scheme ID, GPS coordinates, date/time, and inspector ID.</w:t>
      </w:r>
    </w:p>
    <w:p>
      <w:pPr>
        <w:pStyle w:val="ListParagraph"/>
        <w:numPr>
          <w:ilvl w:val="0"/>
          <w:numId w:val="1"/>
        </w:numPr>
        <w:spacing w:after="70" w:line="258"/>
      </w:pPr>
      <w:r>
        <w:rPr>
          <w:rFonts w:ascii="Calibri" w:cs="Calibri" w:eastAsia="Calibri" w:hAnsi="Calibri"/>
          <w:color w:val="222222"/>
          <w:sz w:val="20"/>
          <w:szCs w:val="20"/>
        </w:rPr>
        <w:t xml:space="preserve">Evidence may be hashed (e.g., SHA-256) to help detect post-capture modification.</w:t>
      </w:r>
    </w:p>
    <w:p>
      <w:pPr>
        <w:pStyle w:val="ListParagraph"/>
        <w:numPr>
          <w:ilvl w:val="0"/>
          <w:numId w:val="1"/>
        </w:numPr>
        <w:spacing w:after="70" w:line="258"/>
      </w:pPr>
      <w:r>
        <w:rPr>
          <w:rFonts w:ascii="Calibri" w:cs="Calibri" w:eastAsia="Calibri" w:hAnsi="Calibri"/>
          <w:color w:val="222222"/>
          <w:sz w:val="20"/>
          <w:szCs w:val="20"/>
        </w:rPr>
        <w:t xml:space="preserve">The app attempts to detect mock/spoofed GPS locations as an additional safeguard.</w:t>
      </w:r>
    </w:p>
    <w:p>
      <w:pPr>
        <w:pBdr>
          <w:left w:val="single" w:color="B08D3E" w:sz="18" w:space="8"/>
        </w:pBdr>
        <w:shd w:fill="EEF2F8" w:val="clear"/>
        <w:spacing w:after="160" w:before="60"/>
        <w:ind w:left="100"/>
      </w:pPr>
      <w:r>
        <w:rPr>
          <w:rFonts w:ascii="Calibri" w:cs="Calibri" w:eastAsia="Calibri" w:hAnsi="Calibri"/>
          <w:b/>
          <w:bCs/>
          <w:i/>
          <w:iCs/>
          <w:color w:val="1F3864"/>
          <w:sz w:val="19"/>
          <w:szCs w:val="19"/>
        </w:rPr>
        <w:t xml:space="preserve">Note: </w:t>
      </w:r>
      <w:r>
        <w:rPr>
          <w:rFonts w:ascii="Calibri" w:cs="Calibri" w:eastAsia="Calibri" w:hAnsi="Calibri"/>
          <w:i/>
          <w:iCs/>
          <w:color w:val="444444"/>
          <w:sz w:val="19"/>
          <w:szCs w:val="19"/>
        </w:rPr>
        <w:t xml:space="preserve">These mechanisms meaningfully reduce — but cannot completely eliminate — the risk of spoofed location or fabricated evidence. The 50-meter geofence and other thresholds are configurable defaults pending organizational confirmation.</w:t>
      </w:r>
    </w:p>
    <w:p>
      <w:pPr>
        <w:pStyle w:val="Heading1"/>
        <w:pBdr>
          <w:bottom w:val="single" w:color="1F3864" w:sz="8" w:space="4"/>
        </w:pBdr>
        <w:spacing w:after="160" w:before="380"/>
      </w:pPr>
      <w:r>
        <w:rPr>
          <w:rFonts w:ascii="Cambria" w:cs="Cambria" w:eastAsia="Cambria" w:hAnsi="Cambria"/>
          <w:b/>
          <w:bCs/>
          <w:color w:val="1F3864"/>
          <w:sz w:val="27"/>
          <w:szCs w:val="27"/>
        </w:rPr>
        <w:t xml:space="preserve">10. Offline-First Operation</w:t>
      </w:r>
    </w:p>
    <w:p>
      <w:pPr>
        <w:spacing w:after="130" w:line="264"/>
        <w:jc w:val="both"/>
      </w:pPr>
      <w:r>
        <w:rPr>
          <w:rFonts w:ascii="Calibri" w:cs="Calibri" w:eastAsia="Calibri" w:hAnsi="Calibri"/>
          <w:color w:val="222222"/>
          <w:sz w:val="20"/>
          <w:szCs w:val="20"/>
        </w:rPr>
        <w:t xml:space="preserve">Because FMOs often work in low-connectivity areas, inspections can be fully conducted offline. Inspection data, milestone progress, GPS telemetry, photos, and remarks are stored in encrypted local storage and queued for background synchronization once connectivity returns.</w:t>
      </w:r>
    </w:p>
    <w:p>
      <w:pPr>
        <w:spacing w:after="200" w:before="140"/>
        <w:jc w:val="center"/>
      </w:pPr>
      <w:r>
        <w:rPr>
          <w:rFonts w:ascii="Calibri" w:cs="Calibri" w:eastAsia="Calibri" w:hAnsi="Calibri"/>
          <w:b/>
          <w:bCs/>
          <w:color w:val="FFFFFF"/>
          <w:sz w:val="18"/>
          <w:szCs w:val="18"/>
          <w:shd w:fill="1F3864" w:val="clear"/>
        </w:rPr>
        <w:t xml:space="preserve">No Internet</w:t>
      </w:r>
      <w:r>
        <w:rPr>
          <w:rFonts w:ascii="Calibri" w:cs="Calibri" w:eastAsia="Calibri" w:hAnsi="Calibri"/>
          <w:b/>
          <w:bCs/>
          <w:color w:val="1F3864"/>
          <w:sz w:val="18"/>
          <w:szCs w:val="18"/>
        </w:rPr>
        <w:t xml:space="preserve">  →  </w:t>
      </w:r>
      <w:r>
        <w:rPr>
          <w:rFonts w:ascii="Calibri" w:cs="Calibri" w:eastAsia="Calibri" w:hAnsi="Calibri"/>
          <w:b/>
          <w:bCs/>
          <w:color w:val="FFFFFF"/>
          <w:sz w:val="18"/>
          <w:szCs w:val="18"/>
          <w:shd w:fill="2E5395" w:val="clear"/>
        </w:rPr>
        <w:t xml:space="preserve">Saved Locally (Encrypted)</w:t>
      </w:r>
      <w:r>
        <w:rPr>
          <w:rFonts w:ascii="Calibri" w:cs="Calibri" w:eastAsia="Calibri" w:hAnsi="Calibri"/>
          <w:b/>
          <w:bCs/>
          <w:color w:val="1F3864"/>
          <w:sz w:val="18"/>
          <w:szCs w:val="18"/>
        </w:rPr>
        <w:t xml:space="preserve">  →  </w:t>
      </w:r>
      <w:r>
        <w:rPr>
          <w:rFonts w:ascii="Calibri" w:cs="Calibri" w:eastAsia="Calibri" w:hAnsi="Calibri"/>
          <w:b/>
          <w:bCs/>
          <w:color w:val="FFFFFF"/>
          <w:sz w:val="18"/>
          <w:szCs w:val="18"/>
          <w:shd w:fill="2E5395" w:val="clear"/>
        </w:rPr>
        <w:t xml:space="preserve">Sync Queue</w:t>
      </w:r>
      <w:r>
        <w:rPr>
          <w:rFonts w:ascii="Calibri" w:cs="Calibri" w:eastAsia="Calibri" w:hAnsi="Calibri"/>
          <w:b/>
          <w:bCs/>
          <w:color w:val="1F3864"/>
          <w:sz w:val="18"/>
          <w:szCs w:val="18"/>
        </w:rPr>
        <w:t xml:space="preserve">  →  </w:t>
      </w:r>
      <w:r>
        <w:rPr>
          <w:rFonts w:ascii="Calibri" w:cs="Calibri" w:eastAsia="Calibri" w:hAnsi="Calibri"/>
          <w:b/>
          <w:bCs/>
          <w:color w:val="FFFFFF"/>
          <w:sz w:val="18"/>
          <w:szCs w:val="18"/>
          <w:shd w:fill="2E5395" w:val="clear"/>
        </w:rPr>
        <w:t xml:space="preserve">Connectivity Returns</w:t>
      </w:r>
      <w:r>
        <w:rPr>
          <w:rFonts w:ascii="Calibri" w:cs="Calibri" w:eastAsia="Calibri" w:hAnsi="Calibri"/>
          <w:b/>
          <w:bCs/>
          <w:color w:val="1F3864"/>
          <w:sz w:val="18"/>
          <w:szCs w:val="18"/>
        </w:rPr>
        <w:t xml:space="preserve">  →  </w:t>
      </w:r>
      <w:r>
        <w:rPr>
          <w:rFonts w:ascii="Calibri" w:cs="Calibri" w:eastAsia="Calibri" w:hAnsi="Calibri"/>
          <w:b/>
          <w:bCs/>
          <w:color w:val="FFFFFF"/>
          <w:sz w:val="18"/>
          <w:szCs w:val="18"/>
          <w:shd w:fill="B08D3E" w:val="clear"/>
        </w:rPr>
        <w:t xml:space="preserve">Auto Sync to Server</w:t>
      </w:r>
    </w:p>
    <w:p>
      <w:r>
        <w:br w:type="page"/>
      </w:r>
    </w:p>
    <w:p>
      <w:pPr>
        <w:pStyle w:val="Heading1"/>
        <w:pBdr>
          <w:bottom w:val="single" w:color="1F3864" w:sz="8" w:space="4"/>
        </w:pBdr>
        <w:spacing w:after="160" w:before="380"/>
      </w:pPr>
      <w:r>
        <w:rPr>
          <w:rFonts w:ascii="Cambria" w:cs="Cambria" w:eastAsia="Cambria" w:hAnsi="Cambria"/>
          <w:b/>
          <w:bCs/>
          <w:color w:val="1F3864"/>
          <w:sz w:val="27"/>
          <w:szCs w:val="27"/>
        </w:rPr>
        <w:t xml:space="preserve">11. Financial Monitoring &amp; Variance Engine</w:t>
      </w:r>
    </w:p>
    <w:p>
      <w:pPr>
        <w:spacing w:after="130" w:line="264"/>
        <w:jc w:val="both"/>
      </w:pPr>
      <w:r>
        <w:rPr>
          <w:rFonts w:ascii="Calibri" w:cs="Calibri" w:eastAsia="Calibri" w:hAnsi="Calibri"/>
          <w:color w:val="222222"/>
          <w:sz w:val="20"/>
          <w:szCs w:val="20"/>
        </w:rPr>
        <w:t xml:space="preserve">The Finance module tracks allocation, releases, expenditure, and burn rate per scheme, viewable by province, division, district, sector, or department. The Variance Engine compares expenditure against verified physical progress: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Classification</w:t>
            </w:r>
          </w:p>
        </w:tc>
        <w:tc>
          <w:tcPr>
            <w:tcW w:type="dxa" w:w="4675"/>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Proposed Threshold</w:t>
            </w:r>
          </w:p>
        </w:tc>
      </w:tr>
      <w:tr>
        <w:tc>
          <w:tcPr>
            <w:tcW w:type="dxa" w:w="4675"/>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Normal</w:t>
            </w:r>
          </w:p>
        </w:tc>
        <w:tc>
          <w:tcPr>
            <w:tcW w:type="dxa" w:w="4675"/>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 10% variance</w:t>
            </w:r>
          </w:p>
        </w:tc>
      </w:tr>
      <w:tr>
        <w:tc>
          <w:tcPr>
            <w:tcW w:type="dxa" w:w="4675"/>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Yellow Alert</w:t>
            </w:r>
          </w:p>
        </w:tc>
        <w:tc>
          <w:tcPr>
            <w:tcW w:type="dxa" w:w="4675"/>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11% – 25% variance</w:t>
            </w:r>
          </w:p>
        </w:tc>
      </w:tr>
      <w:tr>
        <w:tc>
          <w:tcPr>
            <w:tcW w:type="dxa" w:w="4675"/>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Red Flag</w:t>
            </w:r>
          </w:p>
        </w:tc>
        <w:tc>
          <w:tcPr>
            <w:tcW w:type="dxa" w:w="4675"/>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&gt; 25% variance</w:t>
            </w:r>
          </w:p>
        </w:tc>
      </w:tr>
    </w:tbl>
    <w:p>
      <w:pPr>
        <w:pBdr>
          <w:left w:val="single" w:color="B08D3E" w:sz="18" w:space="8"/>
        </w:pBdr>
        <w:shd w:fill="EEF2F8" w:val="clear"/>
        <w:spacing w:after="160" w:before="60"/>
        <w:ind w:left="100"/>
      </w:pPr>
      <w:r>
        <w:rPr>
          <w:rFonts w:ascii="Calibri" w:cs="Calibri" w:eastAsia="Calibri" w:hAnsi="Calibri"/>
          <w:b/>
          <w:bCs/>
          <w:i/>
          <w:iCs/>
          <w:color w:val="1F3864"/>
          <w:sz w:val="19"/>
          <w:szCs w:val="19"/>
        </w:rPr>
        <w:t xml:space="preserve">Note: </w:t>
      </w:r>
      <w:r>
        <w:rPr>
          <w:rFonts w:ascii="Calibri" w:cs="Calibri" w:eastAsia="Calibri" w:hAnsi="Calibri"/>
          <w:i/>
          <w:iCs/>
          <w:color w:val="444444"/>
          <w:sz w:val="19"/>
          <w:szCs w:val="19"/>
        </w:rPr>
        <w:t xml:space="preserve">Thresholds above are proposed, configurable policy parameters pending confirmation by the sponsoring organization.</w:t>
      </w:r>
    </w:p>
    <w:p>
      <w:pPr>
        <w:spacing w:after="40" w:before="100"/>
        <w:jc w:val="center"/>
      </w:pPr>
      <w:r>
        <w:drawing>
          <wp:inline distT="0" distB="0" distL="0" distR="0">
            <wp:extent cx="4953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670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Figure 6 — Variance example: 80% expenditure vs. 30% verified progress</w:t>
      </w:r>
    </w:p>
    <w:p>
      <w:pPr>
        <w:pBdr>
          <w:top w:val="single" w:color="1F3864" w:sz="4"/>
          <w:bottom w:val="single" w:color="1F3864" w:sz="4"/>
          <w:left w:val="single" w:color="1F3864" w:sz="4"/>
          <w:right w:val="single" w:color="1F3864" w:sz="4"/>
        </w:pBdr>
        <w:shd w:fill="1F3864" w:val="clear"/>
        <w:spacing w:after="0" w:before="100"/>
        <w:jc w:val="center"/>
      </w:pPr>
      <w:r>
        <w:rPr>
          <w:rFonts w:ascii="Calibri" w:cs="Calibri" w:eastAsia="Calibri" w:hAnsi="Calibri"/>
          <w:b/>
          <w:bCs/>
          <w:color w:val="FFFFFF"/>
          <w:sz w:val="19"/>
          <w:szCs w:val="19"/>
        </w:rPr>
        <w:t xml:space="preserve">Financial + Physical Data → Variance Calculated</w:t>
      </w:r>
    </w:p>
    <w:p>
      <w:pPr>
        <w:spacing w:after="15" w:before="15"/>
        <w:jc w:val="center"/>
      </w:pPr>
      <w:r>
        <w:rPr>
          <w:rFonts w:ascii="Calibri" w:cs="Calibri" w:eastAsia="Calibri" w:hAnsi="Calibri"/>
          <w:b/>
          <w:bCs/>
          <w:color w:val="1F3864"/>
          <w:sz w:val="24"/>
          <w:szCs w:val="24"/>
        </w:rPr>
        <w:t xml:space="preserve">↓</w:t>
      </w:r>
    </w:p>
    <w:p>
      <w:pPr>
        <w:pBdr>
          <w:top w:val="single" w:color="B08D3E" w:sz="4"/>
          <w:bottom w:val="single" w:color="B08D3E" w:sz="4"/>
          <w:left w:val="single" w:color="B08D3E" w:sz="4"/>
          <w:right w:val="single" w:color="B08D3E" w:sz="4"/>
        </w:pBdr>
        <w:shd w:fill="B08D3E" w:val="clear"/>
        <w:spacing w:after="0" w:before="30"/>
        <w:jc w:val="center"/>
      </w:pPr>
      <w:r>
        <w:rPr>
          <w:rFonts w:ascii="Calibri" w:cs="Calibri" w:eastAsia="Calibri" w:hAnsi="Calibri"/>
          <w:b/>
          <w:bCs/>
          <w:color w:val="FFFFFF"/>
          <w:sz w:val="19"/>
          <w:szCs w:val="19"/>
        </w:rPr>
        <w:t xml:space="preserve">Classified: Normal / Yellow / Red</w:t>
      </w:r>
    </w:p>
    <w:p>
      <w:pPr>
        <w:spacing w:after="15" w:before="15"/>
        <w:jc w:val="center"/>
      </w:pPr>
      <w:r>
        <w:rPr>
          <w:rFonts w:ascii="Calibri" w:cs="Calibri" w:eastAsia="Calibri" w:hAnsi="Calibri"/>
          <w:b/>
          <w:bCs/>
          <w:color w:val="1F3864"/>
          <w:sz w:val="24"/>
          <w:szCs w:val="24"/>
        </w:rPr>
        <w:t xml:space="preserve">↓</w:t>
      </w:r>
    </w:p>
    <w:p>
      <w:pPr>
        <w:pBdr>
          <w:top w:val="single" w:color="B93A32" w:sz="4"/>
          <w:bottom w:val="single" w:color="B93A32" w:sz="4"/>
          <w:left w:val="single" w:color="B93A32" w:sz="4"/>
          <w:right w:val="single" w:color="B93A32" w:sz="4"/>
        </w:pBdr>
        <w:shd w:fill="B93A32" w:val="clear"/>
        <w:spacing w:after="0" w:before="30"/>
        <w:jc w:val="center"/>
      </w:pPr>
      <w:r>
        <w:rPr>
          <w:rFonts w:ascii="Calibri" w:cs="Calibri" w:eastAsia="Calibri" w:hAnsi="Calibri"/>
          <w:b/>
          <w:bCs/>
          <w:color w:val="FFFFFF"/>
          <w:sz w:val="19"/>
          <w:szCs w:val="19"/>
        </w:rPr>
        <w:t xml:space="preserve">Red Flag → Alert → Department Notified → Review</w:t>
      </w:r>
    </w:p>
    <w:p>
      <w:pPr>
        <w:spacing w:after="15" w:before="15"/>
        <w:jc w:val="center"/>
      </w:pPr>
      <w:r>
        <w:rPr>
          <w:rFonts w:ascii="Calibri" w:cs="Calibri" w:eastAsia="Calibri" w:hAnsi="Calibri"/>
          <w:b/>
          <w:bCs/>
          <w:color w:val="1F3864"/>
          <w:sz w:val="24"/>
          <w:szCs w:val="24"/>
        </w:rPr>
        <w:t xml:space="preserve">↓</w:t>
      </w:r>
    </w:p>
    <w:p>
      <w:pPr>
        <w:pBdr>
          <w:top w:val="single" w:color="3C7A45" w:sz="4"/>
          <w:bottom w:val="single" w:color="3C7A45" w:sz="4"/>
          <w:left w:val="single" w:color="3C7A45" w:sz="4"/>
          <w:right w:val="single" w:color="3C7A45" w:sz="4"/>
        </w:pBdr>
        <w:shd w:fill="3C7A45" w:val="clear"/>
        <w:spacing w:after="0" w:before="30"/>
        <w:jc w:val="center"/>
      </w:pPr>
      <w:r>
        <w:rPr>
          <w:rFonts w:ascii="Calibri" w:cs="Calibri" w:eastAsia="Calibri" w:hAnsi="Calibri"/>
          <w:b/>
          <w:bCs/>
          <w:color w:val="FFFFFF"/>
          <w:sz w:val="19"/>
          <w:szCs w:val="19"/>
        </w:rPr>
        <w:t xml:space="preserve">Administrative Inquiry / Authorized Decision</w:t>
      </w:r>
    </w:p>
    <w:p>
      <w:pPr>
        <w:spacing w:after="200"/>
      </w:pPr>
    </w:p>
    <w:p>
      <w:pPr>
        <w:spacing w:after="220"/>
        <w:jc w:val="center"/>
      </w:pPr>
      <w:r>
        <w:rPr>
          <w:rFonts w:ascii="Calibri" w:cs="Calibri" w:eastAsia="Calibri" w:hAnsi="Calibri"/>
          <w:i/>
          <w:iCs/>
          <w:color w:val="595959"/>
          <w:sz w:val="17"/>
          <w:szCs w:val="17"/>
        </w:rPr>
        <w:t xml:space="preserve">Figure 7 — Variance detection and escalation workflow</w:t>
      </w:r>
    </w:p>
    <w:p>
      <w:pPr>
        <w:pStyle w:val="Heading2"/>
        <w:spacing w:after="110" w:before="240"/>
      </w:pPr>
      <w:r>
        <w:rPr>
          <w:rFonts w:ascii="Cambria" w:cs="Cambria" w:eastAsia="Cambria" w:hAnsi="Cambria"/>
          <w:b/>
          <w:bCs/>
          <w:color w:val="2E5395"/>
          <w:sz w:val="22"/>
          <w:szCs w:val="22"/>
        </w:rPr>
        <w:t xml:space="preserve">11.1 Physical Progress Example</w:t>
      </w:r>
    </w:p>
    <w:p>
      <w:pPr>
        <w:spacing w:after="130" w:line="264"/>
        <w:jc w:val="both"/>
      </w:pPr>
      <w:r>
        <w:rPr>
          <w:rFonts w:ascii="Calibri" w:cs="Calibri" w:eastAsia="Calibri" w:hAnsi="Calibri"/>
          <w:color w:val="222222"/>
          <w:sz w:val="20"/>
          <w:szCs w:val="20"/>
        </w:rPr>
        <w:t xml:space="preserve">Physical progress is computed as a weighted sum across a scheme's defined milestones, not a simple average — giving larger components proportionally more influence on the overall figure.</w:t>
      </w:r>
    </w:p>
    <w:p>
      <w:pPr>
        <w:spacing w:after="40" w:before="10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432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Figure 8 — Weighted milestone progress example (overall physical progress: 42.0%)</w:t>
      </w:r>
    </w:p>
    <w:p>
      <w:pPr>
        <w:pStyle w:val="Heading1"/>
        <w:pBdr>
          <w:bottom w:val="single" w:color="1F3864" w:sz="8" w:space="4"/>
        </w:pBdr>
        <w:spacing w:after="160" w:before="380"/>
      </w:pPr>
      <w:r>
        <w:rPr>
          <w:rFonts w:ascii="Cambria" w:cs="Cambria" w:eastAsia="Cambria" w:hAnsi="Cambria"/>
          <w:b/>
          <w:bCs/>
          <w:color w:val="1F3864"/>
          <w:sz w:val="27"/>
          <w:szCs w:val="27"/>
        </w:rPr>
        <w:t xml:space="preserve">12. System Architecture &amp; Technology Stack</w:t>
      </w:r>
    </w:p>
    <w:p>
      <w:pPr>
        <w:spacing w:after="130" w:line="264"/>
        <w:jc w:val="both"/>
      </w:pPr>
      <w:r>
        <w:rPr>
          <w:rFonts w:ascii="Calibri" w:cs="Calibri" w:eastAsia="Calibri" w:hAnsi="Calibri"/>
          <w:color w:val="222222"/>
          <w:sz w:val="20"/>
          <w:szCs w:val="20"/>
        </w:rPr>
        <w:t xml:space="preserve">The system follows the MERN stack (MongoDB, Express.js, React / React Native, Node.js), with React Native powering the mobile frontend and a Node.js/Express REST API serving as the centralized backend.</w:t>
      </w:r>
    </w:p>
    <w:p>
      <w:pPr>
        <w:pBdr>
          <w:top w:val="single" w:color="1F3864" w:sz="4"/>
          <w:bottom w:val="single" w:color="1F3864" w:sz="4"/>
          <w:left w:val="single" w:color="1F3864" w:sz="4"/>
          <w:right w:val="single" w:color="1F3864" w:sz="4"/>
        </w:pBdr>
        <w:shd w:fill="1F3864" w:val="clear"/>
        <w:spacing w:after="0" w:before="100"/>
        <w:jc w:val="center"/>
      </w:pPr>
      <w:r>
        <w:rPr>
          <w:rFonts w:ascii="Calibri" w:cs="Calibri" w:eastAsia="Calibri" w:hAnsi="Calibri"/>
          <w:b/>
          <w:bCs/>
          <w:color w:val="FFFFFF"/>
          <w:sz w:val="19"/>
          <w:szCs w:val="19"/>
        </w:rPr>
        <w:t xml:space="preserve">React Native Mobile App (offline-first, role-adaptive)</w:t>
      </w:r>
    </w:p>
    <w:p>
      <w:pPr>
        <w:spacing w:after="15" w:before="15"/>
        <w:jc w:val="center"/>
      </w:pPr>
      <w:r>
        <w:rPr>
          <w:rFonts w:ascii="Calibri" w:cs="Calibri" w:eastAsia="Calibri" w:hAnsi="Calibri"/>
          <w:b/>
          <w:bCs/>
          <w:color w:val="1F3864"/>
          <w:sz w:val="24"/>
          <w:szCs w:val="24"/>
        </w:rPr>
        <w:t xml:space="preserve">↓</w:t>
      </w:r>
    </w:p>
    <w:p>
      <w:pPr>
        <w:pBdr>
          <w:top w:val="single" w:color="2E5395" w:sz="4"/>
          <w:bottom w:val="single" w:color="2E5395" w:sz="4"/>
          <w:left w:val="single" w:color="2E5395" w:sz="4"/>
          <w:right w:val="single" w:color="2E5395" w:sz="4"/>
        </w:pBdr>
        <w:shd w:fill="2E5395" w:val="clear"/>
        <w:spacing w:after="0" w:before="30"/>
        <w:jc w:val="center"/>
      </w:pPr>
      <w:r>
        <w:rPr>
          <w:rFonts w:ascii="Calibri" w:cs="Calibri" w:eastAsia="Calibri" w:hAnsi="Calibri"/>
          <w:b/>
          <w:bCs/>
          <w:color w:val="FFFFFF"/>
          <w:sz w:val="19"/>
          <w:szCs w:val="19"/>
        </w:rPr>
        <w:t xml:space="preserve">REST API Backend — Node.js + Express.js</w:t>
      </w:r>
    </w:p>
    <w:p>
      <w:pPr>
        <w:spacing w:after="15" w:before="15"/>
        <w:jc w:val="center"/>
      </w:pPr>
      <w:r>
        <w:rPr>
          <w:rFonts w:ascii="Calibri" w:cs="Calibri" w:eastAsia="Calibri" w:hAnsi="Calibri"/>
          <w:b/>
          <w:bCs/>
          <w:color w:val="1F3864"/>
          <w:sz w:val="24"/>
          <w:szCs w:val="24"/>
        </w:rPr>
        <w:t xml:space="preserve">↓</w:t>
      </w:r>
    </w:p>
    <w:p>
      <w:pPr>
        <w:pBdr>
          <w:top w:val="single" w:color="2E5395" w:sz="4"/>
          <w:bottom w:val="single" w:color="2E5395" w:sz="4"/>
          <w:left w:val="single" w:color="2E5395" w:sz="4"/>
          <w:right w:val="single" w:color="2E5395" w:sz="4"/>
        </w:pBdr>
        <w:shd w:fill="2E5395" w:val="clear"/>
        <w:spacing w:after="0" w:before="30"/>
        <w:jc w:val="center"/>
      </w:pPr>
      <w:r>
        <w:rPr>
          <w:rFonts w:ascii="Calibri" w:cs="Calibri" w:eastAsia="Calibri" w:hAnsi="Calibri"/>
          <w:b/>
          <w:bCs/>
          <w:color w:val="FFFFFF"/>
          <w:sz w:val="19"/>
          <w:szCs w:val="19"/>
        </w:rPr>
        <w:t xml:space="preserve">Business Logic / Auth / RBAC / Variance Engine</w:t>
      </w:r>
    </w:p>
    <w:p>
      <w:pPr>
        <w:spacing w:after="15" w:before="15"/>
        <w:jc w:val="center"/>
      </w:pPr>
      <w:r>
        <w:rPr>
          <w:rFonts w:ascii="Calibri" w:cs="Calibri" w:eastAsia="Calibri" w:hAnsi="Calibri"/>
          <w:b/>
          <w:bCs/>
          <w:color w:val="1F3864"/>
          <w:sz w:val="24"/>
          <w:szCs w:val="24"/>
        </w:rPr>
        <w:t xml:space="preserve">↓</w:t>
      </w:r>
    </w:p>
    <w:p>
      <w:pPr>
        <w:pBdr>
          <w:top w:val="single" w:color="B08D3E" w:sz="4"/>
          <w:bottom w:val="single" w:color="B08D3E" w:sz="4"/>
          <w:left w:val="single" w:color="B08D3E" w:sz="4"/>
          <w:right w:val="single" w:color="B08D3E" w:sz="4"/>
        </w:pBdr>
        <w:shd w:fill="B08D3E" w:val="clear"/>
        <w:spacing w:after="0" w:before="30"/>
        <w:jc w:val="center"/>
      </w:pPr>
      <w:r>
        <w:rPr>
          <w:rFonts w:ascii="Calibri" w:cs="Calibri" w:eastAsia="Calibri" w:hAnsi="Calibri"/>
          <w:b/>
          <w:bCs/>
          <w:color w:val="FFFFFF"/>
          <w:sz w:val="19"/>
          <w:szCs w:val="19"/>
        </w:rPr>
        <w:t xml:space="preserve">MongoDB (with Geospatial Indexing)</w:t>
      </w:r>
    </w:p>
    <w:p>
      <w:pPr>
        <w:spacing w:after="15" w:before="15"/>
        <w:jc w:val="center"/>
      </w:pPr>
      <w:r>
        <w:rPr>
          <w:rFonts w:ascii="Calibri" w:cs="Calibri" w:eastAsia="Calibri" w:hAnsi="Calibri"/>
          <w:b/>
          <w:bCs/>
          <w:color w:val="1F3864"/>
          <w:sz w:val="24"/>
          <w:szCs w:val="24"/>
        </w:rPr>
        <w:t xml:space="preserve">↓</w:t>
      </w:r>
    </w:p>
    <w:p>
      <w:pPr>
        <w:pBdr>
          <w:top w:val="single" w:color="3C7A45" w:sz="4"/>
          <w:bottom w:val="single" w:color="3C7A45" w:sz="4"/>
          <w:left w:val="single" w:color="3C7A45" w:sz="4"/>
          <w:right w:val="single" w:color="3C7A45" w:sz="4"/>
        </w:pBdr>
        <w:shd w:fill="3C7A45" w:val="clear"/>
        <w:spacing w:after="0" w:before="30"/>
        <w:jc w:val="center"/>
      </w:pPr>
      <w:r>
        <w:rPr>
          <w:rFonts w:ascii="Calibri" w:cs="Calibri" w:eastAsia="Calibri" w:hAnsi="Calibri"/>
          <w:b/>
          <w:bCs/>
          <w:color w:val="FFFFFF"/>
          <w:sz w:val="19"/>
          <w:szCs w:val="19"/>
        </w:rPr>
        <w:t xml:space="preserve">Object Storage (S3 / Cloud Storage) + Redis Cache</w:t>
      </w:r>
    </w:p>
    <w:p>
      <w:pPr>
        <w:spacing w:after="200"/>
      </w:pPr>
    </w:p>
    <w:p>
      <w:pPr>
        <w:spacing w:after="220"/>
        <w:jc w:val="center"/>
      </w:pPr>
      <w:r>
        <w:rPr>
          <w:rFonts w:ascii="Calibri" w:cs="Calibri" w:eastAsia="Calibri" w:hAnsi="Calibri"/>
          <w:i/>
          <w:iCs/>
          <w:color w:val="595959"/>
          <w:sz w:val="17"/>
          <w:szCs w:val="17"/>
        </w:rPr>
        <w:t xml:space="preserve">Figure 9 — High-level system architecture (MERN stack)</w:t>
      </w:r>
    </w:p>
    <w:p>
      <w:pPr>
        <w:pBdr>
          <w:left w:val="single" w:color="B08D3E" w:sz="18" w:space="8"/>
        </w:pBdr>
        <w:shd w:fill="EEF2F8" w:val="clear"/>
        <w:spacing w:after="160" w:before="60"/>
        <w:ind w:left="100"/>
      </w:pPr>
      <w:r>
        <w:rPr>
          <w:rFonts w:ascii="Calibri" w:cs="Calibri" w:eastAsia="Calibri" w:hAnsi="Calibri"/>
          <w:b/>
          <w:bCs/>
          <w:i/>
          <w:iCs/>
          <w:color w:val="1F3864"/>
          <w:sz w:val="19"/>
          <w:szCs w:val="19"/>
        </w:rPr>
        <w:t xml:space="preserve">Note: </w:t>
      </w:r>
      <w:r>
        <w:rPr>
          <w:rFonts w:ascii="Calibri" w:cs="Calibri" w:eastAsia="Calibri" w:hAnsi="Calibri"/>
          <w:i/>
          <w:iCs/>
          <w:color w:val="444444"/>
          <w:sz w:val="19"/>
          <w:szCs w:val="19"/>
        </w:rPr>
        <w:t xml:space="preserve">All technologies below are proposed / recommended selections, not yet implemented.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450"/>
      </w:tblGrid>
      <w:tr>
        <w:trPr>
          <w:tblHeader/>
        </w:trPr>
        <w:tc>
          <w:tcPr>
            <w:tcW w:type="dxa" w:w="190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Layer</w:t>
            </w:r>
          </w:p>
        </w:tc>
        <w:tc>
          <w:tcPr>
            <w:tcW w:type="dxa" w:w="745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Proposed Technologies</w:t>
            </w:r>
          </w:p>
        </w:tc>
      </w:tr>
      <w:tr>
        <w:tc>
          <w:tcPr>
            <w:tcW w:type="dxa" w:w="19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Mobile (Frontend)</w:t>
            </w:r>
          </w:p>
        </w:tc>
        <w:tc>
          <w:tcPr>
            <w:tcW w:type="dxa" w:w="74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React Native, React Navigation, Zustand, react-native-vision-camera, react-native-image-marker, react-native-geolocation-service, @rnmapbox/maps</w:t>
            </w:r>
          </w:p>
        </w:tc>
      </w:tr>
      <w:tr>
        <w:tc>
          <w:tcPr>
            <w:tcW w:type="dxa" w:w="19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Local Storage</w:t>
            </w:r>
          </w:p>
        </w:tc>
        <w:tc>
          <w:tcPr>
            <w:tcW w:type="dxa" w:w="74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op-sqlite + SQLCipher (encrypted offline storage), react-native-keychain (secure tokens)</w:t>
            </w:r>
          </w:p>
        </w:tc>
      </w:tr>
      <w:tr>
        <w:tc>
          <w:tcPr>
            <w:tcW w:type="dxa" w:w="19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Backend</w:t>
            </w:r>
          </w:p>
        </w:tc>
        <w:tc>
          <w:tcPr>
            <w:tcW w:type="dxa" w:w="74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Node.js + Express.js (REST API, business logic, authentication)</w:t>
            </w:r>
          </w:p>
        </w:tc>
      </w:tr>
      <w:tr>
        <w:tc>
          <w:tcPr>
            <w:tcW w:type="dxa" w:w="19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Database</w:t>
            </w:r>
          </w:p>
        </w:tc>
        <w:tc>
          <w:tcPr>
            <w:tcW w:type="dxa" w:w="74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MongoDB, using its native geospatial (2dsphere) indexing for scheme coordinates and boundaries</w:t>
            </w:r>
          </w:p>
        </w:tc>
      </w:tr>
      <w:tr>
        <w:tc>
          <w:tcPr>
            <w:tcW w:type="dxa" w:w="19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Supporting</w:t>
            </w:r>
          </w:p>
        </w:tc>
        <w:tc>
          <w:tcPr>
            <w:tcW w:type="dxa" w:w="74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Redis (cache/queue), S3-compatible / cloud object storage for documents and evidence</w:t>
            </w:r>
          </w:p>
        </w:tc>
      </w:tr>
    </w:tbl>
    <w:p>
      <w:pPr>
        <w:pStyle w:val="Heading1"/>
        <w:pBdr>
          <w:bottom w:val="single" w:color="1F3864" w:sz="8" w:space="4"/>
        </w:pBdr>
        <w:spacing w:after="160" w:before="380"/>
      </w:pPr>
      <w:r>
        <w:rPr>
          <w:rFonts w:ascii="Cambria" w:cs="Cambria" w:eastAsia="Cambria" w:hAnsi="Cambria"/>
          <w:b/>
          <w:bCs/>
          <w:color w:val="1F3864"/>
          <w:sz w:val="27"/>
          <w:szCs w:val="27"/>
        </w:rPr>
        <w:t xml:space="preserve">13. Data Model</w:t>
      </w:r>
    </w:p>
    <w:p>
      <w:pPr>
        <w:spacing w:after="130" w:line="264"/>
        <w:jc w:val="both"/>
      </w:pPr>
      <w:r>
        <w:rPr>
          <w:rFonts w:ascii="Calibri" w:cs="Calibri" w:eastAsia="Calibri" w:hAnsi="Calibri"/>
          <w:color w:val="222222"/>
          <w:sz w:val="20"/>
          <w:szCs w:val="20"/>
        </w:rPr>
        <w:t xml:space="preserve">The Scheme is the central entity, linked to a Department, Sector, District, Division, and Location, with related Documents, Milestones, Inspection Assignments, and Financial records.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50"/>
      </w:tblGrid>
      <w:tr>
        <w:trPr>
          <w:tblHeader/>
        </w:trPr>
        <w:tc>
          <w:tcPr>
            <w:tcW w:type="dxa" w:w="210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Entity Group</w:t>
            </w:r>
          </w:p>
        </w:tc>
        <w:tc>
          <w:tcPr>
            <w:tcW w:type="dxa" w:w="725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Key Entities</w:t>
            </w:r>
          </w:p>
        </w:tc>
      </w:tr>
      <w:tr>
        <w:tc>
          <w:tcPr>
            <w:tcW w:type="dxa" w:w="21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Organization</w:t>
            </w:r>
          </w:p>
        </w:tc>
        <w:tc>
          <w:tcPr>
            <w:tcW w:type="dxa" w:w="72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Users, Roles, Departments, Sectors, Districts, Divisions</w:t>
            </w:r>
          </w:p>
        </w:tc>
      </w:tr>
      <w:tr>
        <w:tc>
          <w:tcPr>
            <w:tcW w:type="dxa" w:w="21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SIMS</w:t>
            </w:r>
          </w:p>
        </w:tc>
        <w:tc>
          <w:tcPr>
            <w:tcW w:type="dxa" w:w="72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Schemes, Scheme Documents, Scheme Locations/Boundaries, Contractors</w:t>
            </w:r>
          </w:p>
        </w:tc>
      </w:tr>
      <w:tr>
        <w:tc>
          <w:tcPr>
            <w:tcW w:type="dxa" w:w="21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PMS</w:t>
            </w:r>
          </w:p>
        </w:tc>
        <w:tc>
          <w:tcPr>
            <w:tcW w:type="dxa" w:w="72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Milestones, Inspection Assignments, Inspections, Inspection Photos, Issues</w:t>
            </w:r>
          </w:p>
        </w:tc>
      </w:tr>
      <w:tr>
        <w:tc>
          <w:tcPr>
            <w:tcW w:type="dxa" w:w="21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Finance</w:t>
            </w:r>
          </w:p>
        </w:tc>
        <w:tc>
          <w:tcPr>
            <w:tcW w:type="dxa" w:w="72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Allocations, Releases, Expenditures, Variance Records</w:t>
            </w:r>
          </w:p>
        </w:tc>
      </w:tr>
      <w:tr>
        <w:tc>
          <w:tcPr>
            <w:tcW w:type="dxa" w:w="21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System</w:t>
            </w:r>
          </w:p>
        </w:tc>
        <w:tc>
          <w:tcPr>
            <w:tcW w:type="dxa" w:w="72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Alerts, Notifications, Audit Logs</w:t>
            </w:r>
          </w:p>
        </w:tc>
      </w:tr>
    </w:tbl>
    <w:p>
      <w:r>
        <w:br w:type="page"/>
      </w:r>
    </w:p>
    <w:p>
      <w:pPr>
        <w:pStyle w:val="Heading1"/>
        <w:pBdr>
          <w:bottom w:val="single" w:color="1F3864" w:sz="8" w:space="4"/>
        </w:pBdr>
        <w:spacing w:after="160" w:before="380"/>
      </w:pPr>
      <w:r>
        <w:rPr>
          <w:rFonts w:ascii="Cambria" w:cs="Cambria" w:eastAsia="Cambria" w:hAnsi="Cambria"/>
          <w:b/>
          <w:bCs/>
          <w:color w:val="1F3864"/>
          <w:sz w:val="27"/>
          <w:szCs w:val="27"/>
        </w:rPr>
        <w:t xml:space="preserve">14. Functional &amp; Non-Functional Requirements</w:t>
      </w:r>
    </w:p>
    <w:p>
      <w:pPr>
        <w:pStyle w:val="Heading2"/>
        <w:spacing w:after="110" w:before="240"/>
      </w:pPr>
      <w:r>
        <w:rPr>
          <w:rFonts w:ascii="Cambria" w:cs="Cambria" w:eastAsia="Cambria" w:hAnsi="Cambria"/>
          <w:b/>
          <w:bCs/>
          <w:color w:val="2E5395"/>
          <w:sz w:val="22"/>
          <w:szCs w:val="22"/>
        </w:rPr>
        <w:t xml:space="preserve">14.1 Key Functional Requirements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050"/>
      </w:tblGrid>
      <w:tr>
        <w:trPr>
          <w:tblHeader/>
        </w:trPr>
        <w:tc>
          <w:tcPr>
            <w:tcW w:type="dxa" w:w="230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Area</w:t>
            </w:r>
          </w:p>
        </w:tc>
        <w:tc>
          <w:tcPr>
            <w:tcW w:type="dxa" w:w="705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System Behavior</w:t>
            </w:r>
          </w:p>
        </w:tc>
      </w:tr>
      <w:tr>
        <w:tc>
          <w:tcPr>
            <w:tcW w:type="dxa" w:w="23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Auth &amp; RBAC</w:t>
            </w:r>
          </w:p>
        </w:tc>
        <w:tc>
          <w:tcPr>
            <w:tcW w:type="dxa" w:w="70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Secure login; four roles, each with defined screens and permissions.</w:t>
            </w:r>
          </w:p>
        </w:tc>
      </w:tr>
      <w:tr>
        <w:tc>
          <w:tcPr>
            <w:tcW w:type="dxa" w:w="23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SIMS</w:t>
            </w:r>
          </w:p>
        </w:tc>
        <w:tc>
          <w:tcPr>
            <w:tcW w:type="dxa" w:w="70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Scheme registration, document management, GIS mapping.</w:t>
            </w:r>
          </w:p>
        </w:tc>
      </w:tr>
      <w:tr>
        <w:tc>
          <w:tcPr>
            <w:tcW w:type="dxa" w:w="23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Inspection Dispatch</w:t>
            </w:r>
          </w:p>
        </w:tc>
        <w:tc>
          <w:tcPr>
            <w:tcW w:type="dxa" w:w="70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Directors assign inspections to FMOs with deadlines and status tracking.</w:t>
            </w:r>
          </w:p>
        </w:tc>
      </w:tr>
      <w:tr>
        <w:tc>
          <w:tcPr>
            <w:tcW w:type="dxa" w:w="23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FMO Inspection</w:t>
            </w:r>
          </w:p>
        </w:tc>
        <w:tc>
          <w:tcPr>
            <w:tcW w:type="dxa" w:w="70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GPS-verified, camera-based inspection with milestone progress and issue logging.</w:t>
            </w:r>
          </w:p>
        </w:tc>
      </w:tr>
      <w:tr>
        <w:tc>
          <w:tcPr>
            <w:tcW w:type="dxa" w:w="23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Finance &amp; Variance</w:t>
            </w:r>
          </w:p>
        </w:tc>
        <w:tc>
          <w:tcPr>
            <w:tcW w:type="dxa" w:w="70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Tracks allocation/release/expenditure; computes and classifies variance.</w:t>
            </w:r>
          </w:p>
        </w:tc>
      </w:tr>
      <w:tr>
        <w:tc>
          <w:tcPr>
            <w:tcW w:type="dxa" w:w="23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Dashboards &amp; Alerts</w:t>
            </w:r>
          </w:p>
        </w:tc>
        <w:tc>
          <w:tcPr>
            <w:tcW w:type="dxa" w:w="70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Role-based KPIs, filters, and automated notifications.</w:t>
            </w:r>
          </w:p>
        </w:tc>
      </w:tr>
      <w:tr>
        <w:tc>
          <w:tcPr>
            <w:tcW w:type="dxa" w:w="23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Offline Sync</w:t>
            </w:r>
          </w:p>
        </w:tc>
        <w:tc>
          <w:tcPr>
            <w:tcW w:type="dxa" w:w="70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Captures inspection data offline; synchronizes automatically once online.</w:t>
            </w:r>
          </w:p>
        </w:tc>
      </w:tr>
      <w:tr>
        <w:tc>
          <w:tcPr>
            <w:tcW w:type="dxa" w:w="23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Audit Log</w:t>
            </w:r>
          </w:p>
        </w:tc>
        <w:tc>
          <w:tcPr>
            <w:tcW w:type="dxa" w:w="70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Records key actions with user, timestamp, and change detail.</w:t>
            </w:r>
          </w:p>
        </w:tc>
      </w:tr>
    </w:tbl>
    <w:p>
      <w:pPr>
        <w:pStyle w:val="Heading2"/>
        <w:spacing w:after="110" w:before="240"/>
      </w:pPr>
      <w:r>
        <w:rPr>
          <w:rFonts w:ascii="Cambria" w:cs="Cambria" w:eastAsia="Cambria" w:hAnsi="Cambria"/>
          <w:b/>
          <w:bCs/>
          <w:color w:val="2E5395"/>
          <w:sz w:val="22"/>
          <w:szCs w:val="22"/>
        </w:rPr>
        <w:t xml:space="preserve">14.2 Non-Functional Requirements</w:t>
      </w:r>
    </w:p>
    <w:p>
      <w:pPr>
        <w:pStyle w:val="ListParagraph"/>
        <w:numPr>
          <w:ilvl w:val="0"/>
          <w:numId w:val="1"/>
        </w:numPr>
        <w:spacing w:after="70" w:line="258"/>
      </w:pPr>
      <w:r>
        <w:rPr>
          <w:rFonts w:ascii="Calibri" w:cs="Calibri" w:eastAsia="Calibri" w:hAnsi="Calibri"/>
          <w:color w:val="222222"/>
          <w:sz w:val="20"/>
          <w:szCs w:val="20"/>
        </w:rPr>
        <w:t xml:space="preserve">Performance: responsive under normal operational load.</w:t>
      </w:r>
    </w:p>
    <w:p>
      <w:pPr>
        <w:pStyle w:val="ListParagraph"/>
        <w:numPr>
          <w:ilvl w:val="0"/>
          <w:numId w:val="1"/>
        </w:numPr>
        <w:spacing w:after="70" w:line="258"/>
      </w:pPr>
      <w:r>
        <w:rPr>
          <w:rFonts w:ascii="Calibri" w:cs="Calibri" w:eastAsia="Calibri" w:hAnsi="Calibri"/>
          <w:color w:val="222222"/>
          <w:sz w:val="20"/>
          <w:szCs w:val="20"/>
        </w:rPr>
        <w:t xml:space="preserve">Scalability: supports growth in schemes, users, and inspections across the province.</w:t>
      </w:r>
    </w:p>
    <w:p>
      <w:pPr>
        <w:pStyle w:val="ListParagraph"/>
        <w:numPr>
          <w:ilvl w:val="0"/>
          <w:numId w:val="1"/>
        </w:numPr>
        <w:spacing w:after="70" w:line="258"/>
      </w:pPr>
      <w:r>
        <w:rPr>
          <w:rFonts w:ascii="Calibri" w:cs="Calibri" w:eastAsia="Calibri" w:hAnsi="Calibri"/>
          <w:color w:val="222222"/>
          <w:sz w:val="20"/>
          <w:szCs w:val="20"/>
        </w:rPr>
        <w:t xml:space="preserve">Security: RBAC, encrypted storage, HTTPS/TLS, secure token handling.</w:t>
      </w:r>
    </w:p>
    <w:p>
      <w:pPr>
        <w:pStyle w:val="ListParagraph"/>
        <w:numPr>
          <w:ilvl w:val="0"/>
          <w:numId w:val="1"/>
        </w:numPr>
        <w:spacing w:after="70" w:line="258"/>
      </w:pPr>
      <w:r>
        <w:rPr>
          <w:rFonts w:ascii="Calibri" w:cs="Calibri" w:eastAsia="Calibri" w:hAnsi="Calibri"/>
          <w:color w:val="222222"/>
          <w:sz w:val="20"/>
          <w:szCs w:val="20"/>
        </w:rPr>
        <w:t xml:space="preserve">Usability: FMO Field Mode kept simple and fast for on-site use.</w:t>
      </w:r>
    </w:p>
    <w:p>
      <w:pPr>
        <w:pStyle w:val="ListParagraph"/>
        <w:numPr>
          <w:ilvl w:val="0"/>
          <w:numId w:val="1"/>
        </w:numPr>
        <w:spacing w:after="70" w:line="258"/>
      </w:pPr>
      <w:r>
        <w:rPr>
          <w:rFonts w:ascii="Calibri" w:cs="Calibri" w:eastAsia="Calibri" w:hAnsi="Calibri"/>
          <w:color w:val="222222"/>
          <w:sz w:val="20"/>
          <w:szCs w:val="20"/>
        </w:rPr>
        <w:t xml:space="preserve">Offline Support: full inspection capture without connectivity.</w:t>
      </w:r>
    </w:p>
    <w:p>
      <w:pPr>
        <w:pStyle w:val="ListParagraph"/>
        <w:numPr>
          <w:ilvl w:val="0"/>
          <w:numId w:val="1"/>
        </w:numPr>
        <w:spacing w:after="70" w:line="258"/>
      </w:pPr>
      <w:r>
        <w:rPr>
          <w:rFonts w:ascii="Calibri" w:cs="Calibri" w:eastAsia="Calibri" w:hAnsi="Calibri"/>
          <w:color w:val="222222"/>
          <w:sz w:val="20"/>
          <w:szCs w:val="20"/>
        </w:rPr>
        <w:t xml:space="preserve">Auditability: all significant actions traceable to a user and timestamp.</w:t>
      </w:r>
    </w:p>
    <w:p>
      <w:pPr>
        <w:pStyle w:val="Heading1"/>
        <w:pBdr>
          <w:bottom w:val="single" w:color="1F3864" w:sz="8" w:space="4"/>
        </w:pBdr>
        <w:spacing w:after="160" w:before="380"/>
      </w:pPr>
      <w:r>
        <w:rPr>
          <w:rFonts w:ascii="Cambria" w:cs="Cambria" w:eastAsia="Cambria" w:hAnsi="Cambria"/>
          <w:b/>
          <w:bCs/>
          <w:color w:val="1F3864"/>
          <w:sz w:val="27"/>
          <w:szCs w:val="27"/>
        </w:rPr>
        <w:t xml:space="preserve">15. Development Roadmap</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8150"/>
      </w:tblGrid>
      <w:tr>
        <w:trPr>
          <w:tblHeader/>
        </w:trPr>
        <w:tc>
          <w:tcPr>
            <w:tcW w:type="dxa" w:w="120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Phase</w:t>
            </w:r>
          </w:p>
        </w:tc>
        <w:tc>
          <w:tcPr>
            <w:tcW w:type="dxa" w:w="8150"/>
            <w:shd w:fill="1F3864"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Focus</w:t>
            </w:r>
          </w:p>
        </w:tc>
      </w:tr>
      <w:tr>
        <w:tc>
          <w:tcPr>
            <w:tcW w:type="dxa" w:w="12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1</w:t>
            </w:r>
          </w:p>
        </w:tc>
        <w:tc>
          <w:tcPr>
            <w:tcW w:type="dxa" w:w="81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Foundation — requirements, architecture, auth, RBAC, database design</w:t>
            </w:r>
          </w:p>
        </w:tc>
      </w:tr>
      <w:tr>
        <w:tc>
          <w:tcPr>
            <w:tcW w:type="dxa" w:w="12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2</w:t>
            </w:r>
          </w:p>
        </w:tc>
        <w:tc>
          <w:tcPr>
            <w:tcW w:type="dxa" w:w="81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SIMS — registry, documents, GIS map</w:t>
            </w:r>
          </w:p>
        </w:tc>
      </w:tr>
      <w:tr>
        <w:tc>
          <w:tcPr>
            <w:tcW w:type="dxa" w:w="12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3</w:t>
            </w:r>
          </w:p>
        </w:tc>
        <w:tc>
          <w:tcPr>
            <w:tcW w:type="dxa" w:w="81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PMS — inspection dispatch, FMO Field Mode, GPS, camera, evidence</w:t>
            </w:r>
          </w:p>
        </w:tc>
      </w:tr>
      <w:tr>
        <w:tc>
          <w:tcPr>
            <w:tcW w:type="dxa" w:w="12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4</w:t>
            </w:r>
          </w:p>
        </w:tc>
        <w:tc>
          <w:tcPr>
            <w:tcW w:type="dxa" w:w="81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Finance — allocation, releases, expenditure, Variance Engine</w:t>
            </w:r>
          </w:p>
        </w:tc>
      </w:tr>
      <w:tr>
        <w:tc>
          <w:tcPr>
            <w:tcW w:type="dxa" w:w="120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5</w:t>
            </w:r>
          </w:p>
        </w:tc>
        <w:tc>
          <w:tcPr>
            <w:tcW w:type="dxa" w:w="8150"/>
            <w:shd w:fill="FFFFFF"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Offline Sync — encrypted local storage, background synchronization</w:t>
            </w:r>
          </w:p>
        </w:tc>
      </w:tr>
      <w:tr>
        <w:tc>
          <w:tcPr>
            <w:tcW w:type="dxa" w:w="120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6</w:t>
            </w:r>
          </w:p>
        </w:tc>
        <w:tc>
          <w:tcPr>
            <w:tcW w:type="dxa" w:w="8150"/>
            <w:shd w:fill="F7F9FC" w:val="clear"/>
            <w:tcMar>
              <w:top w:type="dxa" w:w="60"/>
              <w:left w:type="dxa" w:w="110"/>
              <w:bottom w:type="dxa" w:w="60"/>
              <w:right w:type="dxa" w:w="110"/>
            </w:tcMar>
            <w:vAlign w:val="center"/>
          </w:tcPr>
          <w:p>
            <w:r>
              <w:rPr>
                <w:rFonts w:ascii="Calibri" w:cs="Calibri" w:eastAsia="Calibri" w:hAnsi="Calibri"/>
                <w:b w:val="false"/>
                <w:bCs w:val="false"/>
                <w:color w:val="222222"/>
                <w:sz w:val="19"/>
                <w:szCs w:val="19"/>
              </w:rPr>
              <w:t xml:space="preserve">Dashboard, Security Hardening, Testing &amp; Pilot Deployment</w:t>
            </w:r>
          </w:p>
        </w:tc>
      </w:tr>
    </w:tbl>
    <w:p>
      <w:pPr>
        <w:pStyle w:val="Heading1"/>
        <w:pBdr>
          <w:bottom w:val="single" w:color="1F3864" w:sz="8" w:space="4"/>
        </w:pBdr>
        <w:spacing w:after="160" w:before="380"/>
      </w:pPr>
      <w:r>
        <w:rPr>
          <w:rFonts w:ascii="Cambria" w:cs="Cambria" w:eastAsia="Cambria" w:hAnsi="Cambria"/>
          <w:b/>
          <w:bCs/>
          <w:color w:val="1F3864"/>
          <w:sz w:val="27"/>
          <w:szCs w:val="27"/>
        </w:rPr>
        <w:t xml:space="preserve">16. Testing Strategy</w:t>
      </w:r>
    </w:p>
    <w:p>
      <w:pPr>
        <w:pStyle w:val="ListParagraph"/>
        <w:numPr>
          <w:ilvl w:val="0"/>
          <w:numId w:val="1"/>
        </w:numPr>
        <w:spacing w:after="70" w:line="258"/>
      </w:pPr>
      <w:r>
        <w:rPr>
          <w:rFonts w:ascii="Calibri" w:cs="Calibri" w:eastAsia="Calibri" w:hAnsi="Calibri"/>
          <w:color w:val="222222"/>
          <w:sz w:val="20"/>
          <w:szCs w:val="20"/>
        </w:rPr>
        <w:t xml:space="preserve">Unit &amp; integration testing across mobile, backend, and database layers.</w:t>
      </w:r>
    </w:p>
    <w:p>
      <w:pPr>
        <w:pStyle w:val="ListParagraph"/>
        <w:numPr>
          <w:ilvl w:val="0"/>
          <w:numId w:val="1"/>
        </w:numPr>
        <w:spacing w:after="70" w:line="258"/>
      </w:pPr>
      <w:r>
        <w:rPr>
          <w:rFonts w:ascii="Calibri" w:cs="Calibri" w:eastAsia="Calibri" w:hAnsi="Calibri"/>
          <w:color w:val="222222"/>
          <w:sz w:val="20"/>
          <w:szCs w:val="20"/>
        </w:rPr>
        <w:t xml:space="preserve">Role-based testing to confirm access restrictions per role.</w:t>
      </w:r>
    </w:p>
    <w:p>
      <w:pPr>
        <w:pStyle w:val="ListParagraph"/>
        <w:numPr>
          <w:ilvl w:val="0"/>
          <w:numId w:val="1"/>
        </w:numPr>
        <w:spacing w:after="70" w:line="258"/>
      </w:pPr>
      <w:r>
        <w:rPr>
          <w:rFonts w:ascii="Calibri" w:cs="Calibri" w:eastAsia="Calibri" w:hAnsi="Calibri"/>
          <w:color w:val="222222"/>
          <w:sz w:val="20"/>
          <w:szCs w:val="20"/>
        </w:rPr>
        <w:t xml:space="preserve">GPS testing: inside/outside geofence, poor accuracy, mock-location conditions.</w:t>
      </w:r>
    </w:p>
    <w:p>
      <w:pPr>
        <w:pStyle w:val="ListParagraph"/>
        <w:numPr>
          <w:ilvl w:val="0"/>
          <w:numId w:val="1"/>
        </w:numPr>
        <w:spacing w:after="70" w:line="258"/>
      </w:pPr>
      <w:r>
        <w:rPr>
          <w:rFonts w:ascii="Calibri" w:cs="Calibri" w:eastAsia="Calibri" w:hAnsi="Calibri"/>
          <w:color w:val="222222"/>
          <w:sz w:val="20"/>
          <w:szCs w:val="20"/>
        </w:rPr>
        <w:t xml:space="preserve">Offline testing: capture without internet, sync on reconnect, retry on failure.</w:t>
      </w:r>
    </w:p>
    <w:p>
      <w:pPr>
        <w:pStyle w:val="ListParagraph"/>
        <w:numPr>
          <w:ilvl w:val="0"/>
          <w:numId w:val="1"/>
        </w:numPr>
        <w:spacing w:after="70" w:line="258"/>
      </w:pPr>
      <w:r>
        <w:rPr>
          <w:rFonts w:ascii="Calibri" w:cs="Calibri" w:eastAsia="Calibri" w:hAnsi="Calibri"/>
          <w:color w:val="222222"/>
          <w:sz w:val="20"/>
          <w:szCs w:val="20"/>
        </w:rPr>
        <w:t xml:space="preserve">Financial calculation testing: expenditure, progress, and variance accuracy.</w:t>
      </w:r>
    </w:p>
    <w:p>
      <w:pPr>
        <w:pStyle w:val="ListParagraph"/>
        <w:numPr>
          <w:ilvl w:val="0"/>
          <w:numId w:val="1"/>
        </w:numPr>
        <w:spacing w:after="70" w:line="258"/>
      </w:pPr>
      <w:r>
        <w:rPr>
          <w:rFonts w:ascii="Calibri" w:cs="Calibri" w:eastAsia="Calibri" w:hAnsi="Calibri"/>
          <w:color w:val="222222"/>
          <w:sz w:val="20"/>
          <w:szCs w:val="20"/>
        </w:rPr>
        <w:t xml:space="preserve">End-to-end testing of the full Scheme → Inspection → Report → Variance workflow.</w:t>
      </w:r>
    </w:p>
    <w:p>
      <w:pPr>
        <w:pStyle w:val="Heading1"/>
        <w:pBdr>
          <w:bottom w:val="single" w:color="1F3864" w:sz="8" w:space="4"/>
        </w:pBdr>
        <w:spacing w:after="160" w:before="380"/>
      </w:pPr>
      <w:r>
        <w:rPr>
          <w:rFonts w:ascii="Cambria" w:cs="Cambria" w:eastAsia="Cambria" w:hAnsi="Cambria"/>
          <w:b/>
          <w:bCs/>
          <w:color w:val="1F3864"/>
          <w:sz w:val="27"/>
          <w:szCs w:val="27"/>
        </w:rPr>
        <w:t xml:space="preserve">17. MVP Scope &amp; Future Enhancements</w:t>
      </w:r>
    </w:p>
    <w:p>
      <w:pPr>
        <w:pStyle w:val="Heading2"/>
        <w:spacing w:after="110" w:before="240"/>
      </w:pPr>
      <w:r>
        <w:rPr>
          <w:rFonts w:ascii="Cambria" w:cs="Cambria" w:eastAsia="Cambria" w:hAnsi="Cambria"/>
          <w:b/>
          <w:bCs/>
          <w:color w:val="2E5395"/>
          <w:sz w:val="22"/>
          <w:szCs w:val="22"/>
        </w:rPr>
        <w:t xml:space="preserve">MVP Scope</w:t>
      </w:r>
    </w:p>
    <w:p>
      <w:pPr>
        <w:spacing w:after="130" w:line="264"/>
        <w:jc w:val="both"/>
      </w:pPr>
      <w:r>
        <w:rPr>
          <w:rFonts w:ascii="Calibri" w:cs="Calibri" w:eastAsia="Calibri" w:hAnsi="Calibri"/>
          <w:color w:val="222222"/>
          <w:sz w:val="20"/>
          <w:szCs w:val="20"/>
        </w:rPr>
        <w:t xml:space="preserve">Authentication &amp; RBAC, Scheme Registration &amp; Details, Inspection Dispatch, FMO Field Mode with GPS verification and watermarked evidence, Milestone Progress, Finance &amp; Variance Engine, Executive Dashboard, GIS Map, Notifications, Offline Sync, and Audit Logs.</w:t>
      </w:r>
    </w:p>
    <w:p>
      <w:pPr>
        <w:pStyle w:val="Heading2"/>
        <w:spacing w:after="110" w:before="240"/>
      </w:pPr>
      <w:r>
        <w:rPr>
          <w:rFonts w:ascii="Cambria" w:cs="Cambria" w:eastAsia="Cambria" w:hAnsi="Cambria"/>
          <w:b/>
          <w:bCs/>
          <w:color w:val="2E5395"/>
          <w:sz w:val="22"/>
          <w:szCs w:val="22"/>
        </w:rPr>
        <w:t xml:space="preserve">Future Enhancements</w:t>
      </w:r>
    </w:p>
    <w:p>
      <w:pPr>
        <w:pStyle w:val="ListParagraph"/>
        <w:numPr>
          <w:ilvl w:val="0"/>
          <w:numId w:val="1"/>
        </w:numPr>
        <w:spacing w:after="70" w:line="258"/>
      </w:pPr>
      <w:r>
        <w:rPr>
          <w:rFonts w:ascii="Calibri" w:cs="Calibri" w:eastAsia="Calibri" w:hAnsi="Calibri"/>
          <w:color w:val="222222"/>
          <w:sz w:val="20"/>
          <w:szCs w:val="20"/>
        </w:rPr>
        <w:t xml:space="preserve">AI-based project risk prediction and inspection report summarization.</w:t>
      </w:r>
    </w:p>
    <w:p>
      <w:pPr>
        <w:pStyle w:val="ListParagraph"/>
        <w:numPr>
          <w:ilvl w:val="0"/>
          <w:numId w:val="1"/>
        </w:numPr>
        <w:spacing w:after="70" w:line="258"/>
      </w:pPr>
      <w:r>
        <w:rPr>
          <w:rFonts w:ascii="Calibri" w:cs="Calibri" w:eastAsia="Calibri" w:hAnsi="Calibri"/>
          <w:color w:val="222222"/>
          <w:sz w:val="20"/>
          <w:szCs w:val="20"/>
        </w:rPr>
        <w:t xml:space="preserve">OCR for PC-I documents; satellite/drone imagery integration.</w:t>
      </w:r>
    </w:p>
    <w:p>
      <w:pPr>
        <w:pStyle w:val="ListParagraph"/>
        <w:numPr>
          <w:ilvl w:val="0"/>
          <w:numId w:val="1"/>
        </w:numPr>
        <w:spacing w:after="70" w:line="258"/>
      </w:pPr>
      <w:r>
        <w:rPr>
          <w:rFonts w:ascii="Calibri" w:cs="Calibri" w:eastAsia="Calibri" w:hAnsi="Calibri"/>
          <w:color w:val="222222"/>
          <w:sz w:val="20"/>
          <w:szCs w:val="20"/>
        </w:rPr>
        <w:t xml:space="preserve">Predictive delay detection and contractor performance analytics.</w:t>
      </w:r>
    </w:p>
    <w:p>
      <w:pPr>
        <w:pStyle w:val="ListParagraph"/>
        <w:numPr>
          <w:ilvl w:val="0"/>
          <w:numId w:val="1"/>
        </w:numPr>
        <w:spacing w:after="70" w:line="258"/>
      </w:pPr>
      <w:r>
        <w:rPr>
          <w:rFonts w:ascii="Calibri" w:cs="Calibri" w:eastAsia="Calibri" w:hAnsi="Calibri"/>
          <w:color w:val="222222"/>
          <w:sz w:val="20"/>
          <w:szCs w:val="20"/>
        </w:rPr>
        <w:t xml:space="preserve">Integration with government treasury systems (subject to approval).</w:t>
      </w:r>
    </w:p>
    <w:p>
      <w:pPr>
        <w:pStyle w:val="Heading1"/>
        <w:pBdr>
          <w:bottom w:val="single" w:color="1F3864" w:sz="8" w:space="4"/>
        </w:pBdr>
        <w:spacing w:after="160" w:before="380"/>
      </w:pPr>
      <w:r>
        <w:rPr>
          <w:rFonts w:ascii="Cambria" w:cs="Cambria" w:eastAsia="Cambria" w:hAnsi="Cambria"/>
          <w:b/>
          <w:bCs/>
          <w:color w:val="1F3864"/>
          <w:sz w:val="27"/>
          <w:szCs w:val="27"/>
        </w:rPr>
        <w:t xml:space="preserve">18. Conclusion</w:t>
      </w:r>
    </w:p>
    <w:p>
      <w:pPr>
        <w:spacing w:after="130" w:line="264"/>
        <w:jc w:val="both"/>
      </w:pPr>
      <w:r>
        <w:rPr>
          <w:rFonts w:ascii="Calibri" w:cs="Calibri" w:eastAsia="Calibri" w:hAnsi="Calibri"/>
          <w:color w:val="222222"/>
          <w:sz w:val="20"/>
          <w:szCs w:val="20"/>
        </w:rPr>
        <w:t xml:space="preserve">The Smart Provincial M&amp;E Management Ecosystem offers a practical, technically achievable path to replacing fragmented scheme monitoring with one integrated platform — combining a centralized registry, GPS-verified field inspections, and financial cross-verification around a shared Variance Engine. The phased roadmap and two-developer work distribution keep the project realistic, with a clearly bounded MVP that already demonstrates the system's full end-to-end value.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4"/>
        <w:szCs w:val="14"/>
      </w:rPr>
      <w:t xml:space="preserve">Smart Provincial M&amp;E Management Ecosystem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71d09c001d2eea17a18a28dff3ff81b81ac079.png"/><Relationship Id="rId10" Type="http://schemas.openxmlformats.org/officeDocument/2006/relationships/image" Target="media/6254ae18cb8d4fea84e6a91c168f6349174b68b1.png"/><Relationship Id="rId11" Type="http://schemas.openxmlformats.org/officeDocument/2006/relationships/image" Target="media/371a4ca488615bd5f428d3bf00318ab3114b29e7.png"/><Relationship Id="rId12" Type="http://schemas.openxmlformats.org/officeDocument/2006/relationships/image" Target="media/50707038a1f89e727fc420f9c339cf57fd0eb403.png"/><Relationship Id="rId13" Type="http://schemas.openxmlformats.org/officeDocument/2006/relationships/image" Target="media/3b54110ccfe949c799cd5e70e1a2fa6a2fcf244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Provincial M&amp;E Management Ecosystem — Project Proposal</dc:title>
  <dc:creator>Muhammad Mustafa &amp; Rizwan Vadsariya</dc:creator>
  <cp:lastModifiedBy>Un-named</cp:lastModifiedBy>
  <cp:revision>1</cp:revision>
  <dcterms:created xsi:type="dcterms:W3CDTF">2026-09-03T11:32:48.577Z</dcterms:created>
  <dcterms:modified xsi:type="dcterms:W3CDTF">2026-09-03T11:32:48.577Z</dcterms:modified>
</cp:coreProperties>
</file>

<file path=docProps/custom.xml><?xml version="1.0" encoding="utf-8"?>
<Properties xmlns="http://schemas.openxmlformats.org/officeDocument/2006/custom-properties" xmlns:vt="http://schemas.openxmlformats.org/officeDocument/2006/docPropsVTypes"/>
</file>