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rPr>
        <w:t>SoundScape Band Simulation Study of Directional Haptic Alert Decisions</w:t>
      </w:r>
    </w:p>
    <w:p>
      <w:pPr>
        <w:ind w:firstLine="0"/>
        <w:jc w:val="center"/>
      </w:pPr>
      <w:r>
        <w:rPr>
          <w:b w:val="0"/>
        </w:rPr>
        <w:t>Rishit Chaudhary     Siddharth Verma     Deeksha V</w:t>
      </w:r>
    </w:p>
    <w:p>
      <w:pPr>
        <w:spacing w:after="240"/>
        <w:ind w:firstLine="0"/>
        <w:jc w:val="center"/>
      </w:pPr>
      <w:r>
        <w:rPr>
          <w:b w:val="0"/>
        </w:rPr>
        <w:t>Department of Internet of Things, School of Computer Science and Engineering</w:t>
        <w:br/>
        <w:t>Vellore Institute of Technology, Vellore 632014, Tamil Nadu, India</w:t>
      </w:r>
    </w:p>
    <w:p>
      <w:r>
        <w:t>Final simulation report with interactive browser and Wokwi demonstrations • 28 October 2026</w:t>
      </w:r>
    </w:p>
    <w:p>
      <w:pPr>
        <w:pStyle w:val="Heading1"/>
      </w:pPr>
      <w:r>
        <w:rPr>
          <w:b w:val="0"/>
        </w:rPr>
        <w:t>Abstract</w:t>
      </w:r>
    </w:p>
    <w:p>
      <w:r>
        <w:rPr>
          <w:b w:val="0"/>
        </w:rPr>
        <w:t>We evaluate Dual Evidence Deadline Alerting (DEDA), a decision policy that separates acceptance of a sound class from acceptance of its direction. The study uses 3,594 events in 100 new synthetic streams, seven stress conditions, deadline sensitivity, and 4,200 paired acoustic scenes. Mean wrong-direction events are 20.31% for raw fusion and 2.45% for DEDA, but missed-or-late events increase by 5.12 points. False-alert burden and plausible wrong angles remain serious limitations. The report supplies fixed protocols, uncertainty estimates, component tests and reproducible outputs. It submits no hardware, recording study or participant validation.</w:t>
      </w:r>
    </w:p>
    <w:p>
      <w:pPr>
        <w:pStyle w:val="Heading1"/>
      </w:pPr>
      <w:r>
        <w:rPr>
          <w:b w:val="0"/>
        </w:rPr>
        <w:t>1 Study Scope and Research Questions</w:t>
      </w:r>
    </w:p>
    <w:p>
      <w:r>
        <w:t>This submission is a simulation-only computational study of SoundScape Band. Its deliverables include the synthetic evaluation dataset, numerical analyses, an interactive Python-backed browser demonstrator and a virtual ESP32 policy replay in Wokwi. No physical wearable, recorded three-microphone dataset, operational recognition model, phone application or working hardware prototype is submitted as experimental evidence. Motor outputs are virtual commands visualized by browser indicators and Wokwi LEDs. No physical vibration, energy consumption, worst-case execution time or user benefit is measured.</w:t>
      </w:r>
    </w:p>
    <w:p>
      <w:r>
        <w:rPr>
          <w:b w:val="0"/>
        </w:rPr>
        <w:t>Environmental sound awareness can support Deaf and hard-of-hearing people, but a warning can be misleading if its sound class is plausible while its spatial cue is wrong. Mobile-recognition field work identifies background noise, sound variability and similar classes as practical problems [1]. SPECTRA addresses personalized model construction [2], and SoundHapticVR studies spatial haptic presentation in virtual reality [3]. These motivate the research question; their participant findings do not validate SoundScape Band.</w:t>
      </w:r>
    </w:p>
    <w:p>
      <w:r>
        <w:rPr>
          <w:b w:val="0"/>
        </w:rPr>
        <w:t>DEDA contributes a decision interface: sound-class acceptance and directional acceptance are separate, an evidence episode has a finite horizon, an accepted class may retain a general warning when direction is uncertain, and later evidence may refine the direction. This integrates established components into a policy that makes spatial abstention explicit. It does not introduce a new sound recognizer, delay estimator, coherence measure or geometric correctness certificate.</w:t>
      </w:r>
    </w:p>
    <w:p>
      <w:r>
        <w:rPr>
          <w:b w:val="0"/>
        </w:rPr>
        <w:t>The hypothesized benefit over rejecting an uncertain direction is to preserve the class warning. The hypothesized benefit over unconditional raw-angle fusion is fewer misleading spatial cues. Neither establishes an overall advantage: general warnings convey less information, waiting can increase lateness, and class confusers can still cause false alerts. The comparison therefore evaluates a joint trade-off, rather than treating wrong-direction rate alone as system utility.</w:t>
      </w:r>
    </w:p>
    <w:p>
      <w:r>
        <w:rPr>
          <w:b w:val="0"/>
        </w:rPr>
        <w:t>We ask whether separate class and direction decisions reduce misleading virtual motor commands; how those decisions affect misses, timing and general warnings; whether each component helps under identical generated inputs; and which constructed errors defeat the checks. The study is successful if these questions are answered reproducibly, including adverse findings. It is not defined as proving DEDA superior on every metric.</w:t>
      </w:r>
    </w:p>
    <w:p>
      <w:pPr>
        <w:pStyle w:val="Heading1"/>
      </w:pPr>
      <w:r>
        <w:rPr>
          <w:b w:val="0"/>
        </w:rPr>
        <w:t>2 Related Work and Contribution</w:t>
      </w:r>
    </w:p>
    <w:p>
      <w:r>
        <w:rPr>
          <w:b w:val="0"/>
        </w:rPr>
        <w:t>GCC-PHAT time-delay estimation [4], TDOA consistency constraints [5], and embedded audition systems such as ODAS [6] predate this work. Edge sound-event localization and detection has separate deployment constraints [7]. Calibration [8] and selective classification [9] address score reliability and rejection. FIRMBOUND learns stopping rules for finite-horizon early classification [10]; SEED models early sound-event uncertainty through evidential learning [11]. DEDA is a hand-designed empirical score and fallback policy, with no Bayes-optimality or calibrated-risk guarantee. Published systems are discussed conceptually, not represented as reimplemented numerical baselines.</w:t>
      </w:r>
    </w:p>
    <w:p>
      <w:pPr>
        <w:pStyle w:val="Caption"/>
        <w:keepNext/>
        <w:ind w:firstLine="0"/>
      </w:pPr>
      <w:r>
        <w:rPr>
          <w:b w:val="0"/>
        </w:rPr>
        <w:t>Table 1  Established methods and the proposed decision contribution</w:t>
      </w:r>
    </w:p>
    <w:tbl>
      <w:tblPr>
        <w:tblW w:type="auto" w:w="0"/>
        <w:tblLayout w:type="fixed"/>
        <w:tblLook w:firstColumn="1" w:firstRow="1" w:lastColumn="0" w:lastRow="0" w:noHBand="0" w:noVBand="1" w:val="04A0"/>
      </w:tblPr>
      <w:tblGrid>
        <w:gridCol w:w="2736"/>
        <w:gridCol w:w="5616"/>
      </w:tblGrid>
      <w:tr>
        <w:trPr>
          <w:cantSplit/>
          <w:tblHeader/>
        </w:trPr>
        <w:tc>
          <w:tcPr>
            <w:tcW w:type="dxa" w:w="2736"/>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left"/>
            </w:pPr>
            <w:r>
              <w:rPr>
                <w:b/>
                <w:sz w:val="18"/>
              </w:rPr>
              <w:t>Work or method</w:t>
            </w:r>
          </w:p>
        </w:tc>
        <w:tc>
          <w:tcPr>
            <w:tcW w:type="dxa" w:w="5616"/>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left"/>
            </w:pPr>
            <w:r>
              <w:rPr>
                <w:b/>
                <w:sz w:val="18"/>
              </w:rPr>
              <w:t>Established capability and relationship to DEDA</w:t>
            </w:r>
          </w:p>
        </w:tc>
      </w:tr>
      <w:tr>
        <w:trPr>
          <w:cantSplit/>
        </w:trPr>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GCC-PHAT and TDOA [4,5]</w:t>
            </w:r>
          </w:p>
        </w:tc>
        <w:tc>
          <w:tcPr>
            <w:tcW w:type="dxa" w:w="56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Existing delay and consistency methods reused as the front end; not claimed as new.</w:t>
            </w:r>
          </w:p>
        </w:tc>
      </w:tr>
      <w:tr>
        <w:trPr>
          <w:cantSplit/>
        </w:trPr>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ODAS and edge SELD [6,7]</w:t>
            </w:r>
          </w:p>
        </w:tc>
        <w:tc>
          <w:tcPr>
            <w:tcW w:type="dxa" w:w="56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Audition/localization pipelines with different system scope and compute budgets.</w:t>
            </w:r>
          </w:p>
        </w:tc>
      </w:tr>
      <w:tr>
        <w:trPr>
          <w:cantSplit/>
        </w:trPr>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Calibration and selection [8,9]</w:t>
            </w:r>
          </w:p>
        </w:tc>
        <w:tc>
          <w:tcPr>
            <w:tcW w:type="dxa" w:w="56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Confidence calibration and rejection; DEDA can omit direction while retaining class.</w:t>
            </w:r>
          </w:p>
        </w:tc>
      </w:tr>
      <w:tr>
        <w:trPr>
          <w:cantSplit/>
        </w:trPr>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FIRMBOUND 2025 [10]</w:t>
            </w:r>
          </w:p>
        </w:tc>
        <w:tc>
          <w:tcPr>
            <w:tcW w:type="dxa" w:w="56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Learned finite-horizon stopping; DEDA uses fixed empirical thresholds and virtual spatial fallback.</w:t>
            </w:r>
          </w:p>
        </w:tc>
      </w:tr>
      <w:tr>
        <w:trPr>
          <w:cantSplit/>
        </w:trPr>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SEED 2022 [11]</w:t>
            </w:r>
          </w:p>
        </w:tc>
        <w:tc>
          <w:tcPr>
            <w:tcW w:type="dxa" w:w="56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Evidential early sound detection; no numerical superiority over SEED is tested here.</w:t>
            </w:r>
          </w:p>
        </w:tc>
      </w:tr>
      <w:tr>
        <w:trPr>
          <w:cantSplit/>
        </w:trPr>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SPECTRA 2025 and SoundHapticVR 2024 [2,3]</w:t>
            </w:r>
          </w:p>
        </w:tc>
        <w:tc>
          <w:tcPr>
            <w:tcW w:type="dxa" w:w="56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Personalization and spatial presentation motivate questions, not evidence of this study’s usability.</w:t>
            </w:r>
          </w:p>
        </w:tc>
      </w:tr>
      <w:tr>
        <w:trPr>
          <w:cantSplit/>
        </w:trPr>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This study</w:t>
            </w:r>
          </w:p>
        </w:tc>
        <w:tc>
          <w:tcPr>
            <w:tcW w:type="dxa" w:w="56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Integration of separate decisions and a reproducible trade-off/failure analysis using simple local baselines.</w:t>
            </w:r>
          </w:p>
        </w:tc>
      </w:tr>
    </w:tbl>
    <w:p>
      <w:pPr>
        <w:spacing w:after="0" w:line="60" w:lineRule="exact"/>
      </w:pPr>
      <w:r>
        <w:rPr>
          <w:b w:val="0"/>
        </w:rPr>
      </w:r>
    </w:p>
    <w:p>
      <w:r>
        <w:rPr>
          <w:b w:val="0"/>
        </w:rPr>
        <w:t>An integration contribution can be useful without inventing its constituent estimators. Its empirical value must nevertheless be assessed against simpler decisions. The results below reject a claim that the complete configuration always helps, and they do not compare accuracy numbers across incompatible published datasets. Generalizing to existing uncertainty-aware systems would require direct implementations, shared inputs and matched operating constraints.</w:t>
      </w:r>
    </w:p>
    <w:p>
      <w:pPr>
        <w:pStyle w:val="Heading1"/>
      </w:pPr>
      <w:r>
        <w:rPr>
          <w:b w:val="0"/>
        </w:rPr>
        <w:t>3 Simulation Model and Decision Policy</w:t>
      </w:r>
    </w:p>
    <w:p>
      <w:pPr>
        <w:pStyle w:val="Heading2"/>
      </w:pPr>
      <w:r>
        <w:rPr>
          <w:b w:val="0"/>
        </w:rPr>
        <w:t>3.1 Geometry and reliability</w:t>
      </w:r>
    </w:p>
    <w:p>
      <w:r>
        <w:rPr>
          <w:b w:val="0"/>
        </w:rPr>
        <w:t>The simulated equilateral microphone triangle has side 35 mm and coordinates (0, 20.207), (17.500, −10.104), (−17.500, −10.104) mm. The x axis points right, y forward, and azimuth increases clockwise from forward. Pair order is (0,1), (1,2), (2,0). Under the far-field assumption, delays in samples satisfy τ = Au at sound speed 343 m/s. The pseudoinverse gives v = Pτ, azimuth atan2(vx, vy), norm ν = ‖v‖, and closure e = |τ01 + τ12 + τ20|. These coordinates and propagation assumptions are virtual, not measured on a wearer.</w:t>
      </w:r>
    </w:p>
    <w:p>
      <w:r>
        <w:rPr>
          <w:b w:val="0"/>
        </w:rPr>
        <w:t>GCC-PHAT is evaluated on a 0.25-sample grid in the 300 Hz–6 kHz band. Strongest-bin selection retains the top 25% of cross-power bins; its paired control uses all bins on exactly the same microphone samples. A window passes when minimum normalized PHAT peak ρ ≥ 0.30, closure e ≤ 0.75 sample and 0.60 ≤ ν ≤ 1.40. A 35 mm baseline permits only about 1.63 samples of far-field delay at 16 kHz. The checks indicate model consistency and are not probabilities of correct localization.</w:t>
      </w:r>
    </w:p>
    <w:p>
      <w:r>
        <w:rPr>
          <w:b w:val="0"/>
        </w:rPr>
        <w:t>A coherent reflection, competing source or timing fault can produce a wrong angle while satisfying the gates. Constant channel offsets cancel in the ideal cyclic sum and need not force the fitted norm outside its interval. More simulations cannot establish how often these errors occur in real environments. Body shadowing is not modeled: the gain-mismatch experiment is channel attenuation, not a measured head or torso response.</w:t>
      </w:r>
    </w:p>
    <w:p>
      <w:pPr>
        <w:pStyle w:val="Heading2"/>
      </w:pPr>
      <w:r>
        <w:rPr>
          <w:b w:val="0"/>
        </w:rPr>
        <w:t>3.2 Class evidence and stopping</w:t>
      </w:r>
    </w:p>
    <w:p>
      <w:r>
        <w:rPr>
          <w:b w:val="0"/>
        </w:rPr>
        <w:t>The policy receives generated scores for horn, siren, shout, reversing beep and ambient at a 64 ms hop. An unsuppressed critical score reaching 0.35 opens an episode. The contribution λ is clipped log odds, clip(log(p/(1−p)), −4, 4). Later contributions have weight κ = 0.6. A class must exceed its threshold and lead the runner-up by 0.5; the threshold falls linearly from its initial value to its floor. Correlated windows are not independent, so the accumulated score is empirical rather than a formal likelihood ratio.</w:t>
      </w:r>
    </w:p>
    <w:p>
      <w:pPr>
        <w:spacing w:line="240" w:lineRule="auto"/>
        <w:ind w:firstLine="0"/>
        <w:jc w:val="center"/>
      </w:pPr>
      <w:r>
        <w:rPr>
          <w:b w:val="0"/>
        </w:rPr>
      </w:r>
      <m:oMath>
        <m:sSub>
          <m:sSubPr>
            <m:ctrlPr>
              <w:rPr>
                <w:rFonts w:ascii="Cambria Math" w:hAnsi="Cambria Math"/>
                <w:color w:val="000000" w:themeColor="text1"/>
              </w:rPr>
            </m:ctrlPr>
          </m:sSubPr>
          <m:e>
            <m:r>
              <w:rPr>
                <w:rFonts w:ascii="Cambria Math" w:hAnsi="Cambria Math"/>
                <w:color w:val="000000" w:themeColor="text1"/>
                <w:sz w:val="21"/>
              </w:rPr>
              <m:t>Λ</m:t>
            </m:r>
          </m:e>
          <m:sub>
            <m:r>
              <w:rPr>
                <w:rFonts w:ascii="Cambria Math" w:hAnsi="Cambria Math"/>
                <w:color w:val="000000" w:themeColor="text1"/>
                <w:sz w:val="21"/>
              </w:rPr>
              <m:t>k</m:t>
            </m:r>
          </m:sub>
        </m:sSub>
        <m:d>
          <m:dPr>
            <m:ctrlPr>
              <w:rPr>
                <w:rFonts w:ascii="Cambria Math" w:hAnsi="Cambria Math"/>
                <w:color w:val="000000" w:themeColor="text1"/>
              </w:rPr>
            </m:ctrlPr>
          </m:dPr>
          <m:e>
            <m:r>
              <w:rPr>
                <w:rFonts w:ascii="Cambria Math" w:hAnsi="Cambria Math"/>
                <w:color w:val="000000" w:themeColor="text1"/>
                <w:sz w:val="21"/>
              </w:rPr>
              <m:t>c</m:t>
            </m:r>
          </m:e>
        </m:d>
        <m:r>
          <m:rPr>
            <m:sty m:val="p"/>
          </m:rPr>
          <w:rPr>
            <w:rFonts w:ascii="Cambria Math" w:hAnsi="Cambria Math"/>
            <w:color w:val="000000" w:themeColor="text1"/>
            <w:sz w:val="21"/>
          </w:rPr>
          <m:t>=</m:t>
        </m:r>
        <m:sSub>
          <m:sSubPr>
            <m:ctrlPr>
              <w:rPr>
                <w:rFonts w:ascii="Cambria Math" w:hAnsi="Cambria Math"/>
                <w:color w:val="000000" w:themeColor="text1"/>
              </w:rPr>
            </m:ctrlPr>
          </m:sSubPr>
          <m:e>
            <m:r>
              <w:rPr>
                <w:rFonts w:ascii="Cambria Math" w:hAnsi="Cambria Math"/>
                <w:color w:val="000000" w:themeColor="text1"/>
                <w:sz w:val="21"/>
              </w:rPr>
              <m:t>λ</m:t>
            </m:r>
          </m:e>
          <m:sub>
            <m:sSub>
              <m:sSubPr>
                <m:ctrlPr>
                  <w:rPr>
                    <w:rFonts w:ascii="Cambria Math" w:hAnsi="Cambria Math"/>
                    <w:color w:val="000000" w:themeColor="text1"/>
                  </w:rPr>
                </m:ctrlPr>
              </m:sSubPr>
              <m:e>
                <m:r>
                  <w:rPr>
                    <w:rFonts w:ascii="Cambria Math" w:hAnsi="Cambria Math"/>
                    <w:color w:val="000000" w:themeColor="text1"/>
                    <w:sz w:val="21"/>
                  </w:rPr>
                  <m:t>t</m:t>
                </m:r>
              </m:e>
              <m:sub>
                <m:r>
                  <w:rPr>
                    <w:rFonts w:ascii="Cambria Math" w:hAnsi="Cambria Math"/>
                    <w:color w:val="000000" w:themeColor="text1"/>
                    <w:sz w:val="21"/>
                  </w:rPr>
                  <m:t>0</m:t>
                </m:r>
              </m:sub>
            </m:sSub>
          </m:sub>
        </m:sSub>
        <m:d>
          <m:dPr>
            <m:ctrlPr>
              <w:rPr>
                <w:rFonts w:ascii="Cambria Math" w:hAnsi="Cambria Math"/>
                <w:color w:val="000000" w:themeColor="text1"/>
              </w:rPr>
            </m:ctrlPr>
          </m:dPr>
          <m:e>
            <m:r>
              <w:rPr>
                <w:rFonts w:ascii="Cambria Math" w:hAnsi="Cambria Math"/>
                <w:color w:val="000000" w:themeColor="text1"/>
                <w:sz w:val="21"/>
              </w:rPr>
              <m:t>c</m:t>
            </m:r>
          </m:e>
        </m:d>
        <m:r>
          <m:rPr>
            <m:sty m:val="p"/>
          </m:rPr>
          <w:rPr>
            <w:rFonts w:ascii="Cambria Math" w:hAnsi="Cambria Math"/>
            <w:color w:val="000000" w:themeColor="text1"/>
            <w:sz w:val="21"/>
          </w:rPr>
          <m:t>+</m:t>
        </m:r>
        <m:r>
          <w:rPr>
            <w:rFonts w:ascii="Cambria Math" w:hAnsi="Cambria Math"/>
            <w:color w:val="000000" w:themeColor="text1"/>
            <w:sz w:val="21"/>
          </w:rPr>
          <m:t>κ</m:t>
        </m:r>
        <m:nary>
          <m:naryPr>
            <m:chr m:val="∑"/>
            <m:limLoc m:val="undOvr"/>
            <m:ctrlPr>
              <w:rPr>
                <w:rFonts w:ascii="Cambria Math" w:hAnsi="Cambria Math"/>
                <w:color w:val="000000" w:themeColor="text1"/>
              </w:rPr>
            </m:ctrlPr>
          </m:naryPr>
          <m:sub>
            <m:r>
              <w:rPr>
                <w:rFonts w:ascii="Cambria Math" w:hAnsi="Cambria Math"/>
                <w:color w:val="000000" w:themeColor="text1"/>
                <w:sz w:val="21"/>
              </w:rPr>
              <m:t>j</m:t>
            </m:r>
            <m:r>
              <m:rPr>
                <m:sty m:val="p"/>
              </m:rPr>
              <w:rPr>
                <w:rFonts w:ascii="Cambria Math" w:hAnsi="Cambria Math"/>
                <w:color w:val="000000" w:themeColor="text1"/>
                <w:sz w:val="21"/>
              </w:rPr>
              <m:t>=</m:t>
            </m:r>
            <m:r>
              <w:rPr>
                <w:rFonts w:ascii="Cambria Math" w:hAnsi="Cambria Math"/>
                <w:color w:val="000000" w:themeColor="text1"/>
                <w:sz w:val="21"/>
              </w:rPr>
              <m:t>1</m:t>
            </m:r>
          </m:sub>
          <m:sup>
            <m:r>
              <w:rPr>
                <w:rFonts w:ascii="Cambria Math" w:hAnsi="Cambria Math"/>
                <w:color w:val="000000" w:themeColor="text1"/>
                <w:sz w:val="21"/>
              </w:rPr>
              <m:t>k</m:t>
            </m:r>
          </m:sup>
          <m:e>
            <m:sSub>
              <m:sSubPr>
                <m:ctrlPr>
                  <w:rPr>
                    <w:rFonts w:ascii="Cambria Math" w:hAnsi="Cambria Math"/>
                    <w:color w:val="000000" w:themeColor="text1"/>
                  </w:rPr>
                </m:ctrlPr>
              </m:sSubPr>
              <m:e>
                <m:r>
                  <w:rPr>
                    <w:rFonts w:ascii="Cambria Math" w:hAnsi="Cambria Math"/>
                    <w:color w:val="000000" w:themeColor="text1"/>
                    <w:sz w:val="21"/>
                  </w:rPr>
                  <m:t>λ</m:t>
                </m:r>
              </m:e>
              <m:sub>
                <m:sSub>
                  <m:sSubPr>
                    <m:ctrlPr>
                      <w:rPr>
                        <w:rFonts w:ascii="Cambria Math" w:hAnsi="Cambria Math"/>
                        <w:color w:val="000000" w:themeColor="text1"/>
                      </w:rPr>
                    </m:ctrlPr>
                  </m:sSubPr>
                  <m:e>
                    <m:r>
                      <w:rPr>
                        <w:rFonts w:ascii="Cambria Math" w:hAnsi="Cambria Math"/>
                        <w:color w:val="000000" w:themeColor="text1"/>
                        <w:sz w:val="21"/>
                      </w:rPr>
                      <m:t>t</m:t>
                    </m:r>
                  </m:e>
                  <m:sub>
                    <m:r>
                      <w:rPr>
                        <w:rFonts w:ascii="Cambria Math" w:hAnsi="Cambria Math"/>
                        <w:color w:val="000000" w:themeColor="text1"/>
                        <w:sz w:val="21"/>
                      </w:rPr>
                      <m:t>0</m:t>
                    </m:r>
                  </m:sub>
                </m:sSub>
                <m:r>
                  <m:rPr>
                    <m:sty m:val="p"/>
                  </m:rPr>
                  <w:rPr>
                    <w:rFonts w:ascii="Cambria Math" w:hAnsi="Cambria Math"/>
                    <w:color w:val="000000" w:themeColor="text1"/>
                    <w:sz w:val="21"/>
                  </w:rPr>
                  <m:t>+</m:t>
                </m:r>
                <m:r>
                  <w:rPr>
                    <w:rFonts w:ascii="Cambria Math" w:hAnsi="Cambria Math"/>
                    <w:color w:val="000000" w:themeColor="text1"/>
                    <w:sz w:val="21"/>
                  </w:rPr>
                  <m:t>j</m:t>
                </m:r>
              </m:sub>
            </m:sSub>
          </m:e>
        </m:nary>
        <m:d>
          <m:dPr>
            <m:ctrlPr>
              <w:rPr>
                <w:rFonts w:ascii="Cambria Math" w:hAnsi="Cambria Math"/>
                <w:color w:val="000000" w:themeColor="text1"/>
              </w:rPr>
            </m:ctrlPr>
          </m:dPr>
          <m:e>
            <m:r>
              <w:rPr>
                <w:rFonts w:ascii="Cambria Math" w:hAnsi="Cambria Math"/>
                <w:color w:val="000000" w:themeColor="text1"/>
                <w:sz w:val="21"/>
              </w:rPr>
              <m:t>c</m:t>
            </m:r>
          </m:e>
        </m:d>
        <m:r>
          <m:rPr>
            <m:sty m:val="p"/>
          </m:rPr>
          <w:rPr>
            <w:rFonts w:ascii="Cambria Math" w:hAnsi="Cambria Math"/>
            <w:color w:val="000000" w:themeColor="text1"/>
            <w:sz w:val="21"/>
          </w:rPr>
          <m:t>,</m:t>
        </m:r>
        <m:r>
          <w:rPr>
            <w:rFonts w:ascii="Cambria Math" w:hAnsi="Cambria Math"/>
            <w:color w:val="000000" w:themeColor="text1"/>
            <w:sz w:val="21"/>
          </w:rPr>
          <m:t>  k</m:t>
        </m:r>
        <m:r>
          <m:rPr>
            <m:sty m:val="p"/>
          </m:rPr>
          <w:rPr>
            <w:rFonts w:ascii="Cambria Math" w:hAnsi="Cambria Math"/>
            <w:color w:val="000000" w:themeColor="text1"/>
            <w:sz w:val="21"/>
          </w:rPr>
          <m:t>=</m:t>
        </m:r>
        <m:r>
          <w:rPr>
            <w:rFonts w:ascii="Cambria Math" w:hAnsi="Cambria Math"/>
            <w:color w:val="000000" w:themeColor="text1"/>
            <w:sz w:val="21"/>
          </w:rPr>
          <m:t>0</m:t>
        </m:r>
        <m:r>
          <m:rPr>
            <m:sty m:val="p"/>
          </m:rPr>
          <w:rPr>
            <w:rFonts w:ascii="Cambria Math" w:hAnsi="Cambria Math"/>
            <w:color w:val="000000" w:themeColor="text1"/>
            <w:sz w:val="21"/>
          </w:rPr>
          <m:t>,</m:t>
        </m:r>
        <m:r>
          <w:rPr>
            <w:rFonts w:ascii="Cambria Math" w:hAnsi="Cambria Math"/>
            <w:color w:val="000000" w:themeColor="text1"/>
            <w:sz w:val="21"/>
          </w:rPr>
          <m:t>1</m:t>
        </m:r>
        <m:r>
          <m:rPr>
            <m:sty m:val="p"/>
          </m:rPr>
          <w:rPr>
            <w:rFonts w:ascii="Cambria Math" w:hAnsi="Cambria Math"/>
            <w:color w:val="000000" w:themeColor="text1"/>
            <w:sz w:val="21"/>
          </w:rPr>
          <m:t>,…,</m:t>
        </m:r>
        <m:r>
          <w:rPr>
            <w:rFonts w:ascii="Cambria Math" w:hAnsi="Cambria Math"/>
            <w:color w:val="000000" w:themeColor="text1"/>
            <w:sz w:val="21"/>
          </w:rPr>
          <m:t>K</m:t>
        </m:r>
      </m:oMath>
      <w:r>
        <w:t xml:space="preserve">   (1)</w:t>
      </w:r>
    </w:p>
    <w:p>
      <w:r>
        <w:rPr>
          <w:b w:val="0"/>
        </w:rPr>
        <w:t>The implementation clamps K to a non-negative integer. With hop H = 64 ms, design target D = 300 ms and assumed processing allowance Tproc = 60 ms, K = 2. The K = 0 case avoids interpolation division. The 300 ms setting is retained as a testable engineering reference, not an established human-response or clinical requirement. A finite horizon after evidence opens does not guarantee an alert within 300 ms of the true sound onset; the allowance is not measured processor time.</w:t>
      </w:r>
    </w:p>
    <w:p>
      <w:pPr>
        <w:spacing w:line="240" w:lineRule="auto"/>
        <w:ind w:firstLine="0"/>
        <w:jc w:val="center"/>
      </w:pPr>
      <w:r>
        <w:rPr>
          <w:b w:val="0"/>
        </w:rPr>
      </w:r>
      <m:oMath>
        <m:r>
          <w:rPr>
            <w:rFonts w:ascii="Cambria Math" w:hAnsi="Cambria Math"/>
            <w:color w:val="000000" w:themeColor="text1"/>
            <w:sz w:val="21"/>
          </w:rPr>
          <m:t>K</m:t>
        </m:r>
        <m:r>
          <m:rPr>
            <m:sty m:val="p"/>
          </m:rPr>
          <w:rPr>
            <w:rFonts w:ascii="Cambria Math" w:hAnsi="Cambria Math"/>
            <w:color w:val="000000" w:themeColor="text1"/>
            <w:sz w:val="21"/>
          </w:rPr>
          <m:t>=</m:t>
        </m:r>
        <m:d>
          <m:dPr>
            <m:begChr m:val="⌊"/>
            <m:endChr m:val="⌋"/>
            <m:ctrlPr>
              <w:rPr>
                <w:rFonts w:ascii="Cambria Math" w:hAnsi="Cambria Math"/>
                <w:color w:val="000000" w:themeColor="text1"/>
              </w:rPr>
            </m:ctrlPr>
          </m:dPr>
          <m:e>
            <m:f>
              <m:fPr>
                <m:ctrlPr>
                  <w:rPr>
                    <w:rFonts w:ascii="Cambria Math" w:hAnsi="Cambria Math"/>
                    <w:color w:val="000000" w:themeColor="text1"/>
                  </w:rPr>
                </m:ctrlPr>
              </m:fPr>
              <m:num>
                <m:r>
                  <w:rPr>
                    <w:rFonts w:ascii="Cambria Math" w:hAnsi="Cambria Math"/>
                    <w:color w:val="000000" w:themeColor="text1"/>
                    <w:sz w:val="21"/>
                  </w:rPr>
                  <m:t>D</m:t>
                </m:r>
                <m:r>
                  <m:rPr>
                    <m:sty m:val="p"/>
                  </m:rPr>
                  <w:rPr>
                    <w:rFonts w:ascii="Cambria Math" w:hAnsi="Cambria Math"/>
                    <w:color w:val="000000" w:themeColor="text1"/>
                    <w:sz w:val="21"/>
                  </w:rPr>
                  <m:t>-</m:t>
                </m:r>
                <m:sSub>
                  <m:sSubPr>
                    <m:ctrlPr>
                      <w:rPr>
                        <w:rFonts w:ascii="Cambria Math" w:hAnsi="Cambria Math"/>
                        <w:color w:val="000000" w:themeColor="text1"/>
                      </w:rPr>
                    </m:ctrlPr>
                  </m:sSubPr>
                  <m:e>
                    <m:r>
                      <w:rPr>
                        <w:rFonts w:ascii="Cambria Math" w:hAnsi="Cambria Math"/>
                        <w:color w:val="000000" w:themeColor="text1"/>
                        <w:sz w:val="21"/>
                      </w:rPr>
                      <m:t>T</m:t>
                    </m:r>
                  </m:e>
                  <m:sub>
                    <m:r>
                      <w:rPr>
                        <w:rFonts w:ascii="Cambria Math" w:hAnsi="Cambria Math"/>
                        <w:color w:val="000000" w:themeColor="text1"/>
                        <w:sz w:val="21"/>
                      </w:rPr>
                      <m:t>proc</m:t>
                    </m:r>
                  </m:sub>
                </m:sSub>
              </m:num>
              <m:den>
                <m:r>
                  <w:rPr>
                    <w:rFonts w:ascii="Cambria Math" w:hAnsi="Cambria Math"/>
                    <w:color w:val="000000" w:themeColor="text1"/>
                    <w:sz w:val="21"/>
                  </w:rPr>
                  <m:t>H</m:t>
                </m:r>
              </m:den>
            </m:f>
          </m:e>
        </m:d>
        <m:r>
          <m:rPr>
            <m:sty m:val="p"/>
          </m:rPr>
          <w:rPr>
            <w:rFonts w:ascii="Cambria Math" w:hAnsi="Cambria Math"/>
            <w:color w:val="000000" w:themeColor="text1"/>
            <w:sz w:val="21"/>
          </w:rPr>
          <m:t>-</m:t>
        </m:r>
        <m:r>
          <w:rPr>
            <w:rFonts w:ascii="Cambria Math" w:hAnsi="Cambria Math"/>
            <w:color w:val="000000" w:themeColor="text1"/>
            <w:sz w:val="21"/>
          </w:rPr>
          <m:t>1</m:t>
        </m:r>
      </m:oMath>
      <w:r>
        <w:t xml:space="preserve">   (2)</w:t>
      </w:r>
    </w:p>
    <w:p>
      <w:pPr>
        <w:pStyle w:val="Heading2"/>
      </w:pPr>
      <w:r>
        <w:rPr>
          <w:b w:val="0"/>
        </w:rPr>
        <w:t>3.3 Spatial outputs and fallback</w:t>
      </w:r>
    </w:p>
    <w:p>
      <w:r>
        <w:rPr>
          <w:b w:val="0"/>
        </w:rPr>
        <w:t>Valid direction windows form coherence-weighted unit vectors. Their normalized resultant concentration must reach 0.75; a single window additionally needs coherence ≥ 0.50. The nearest virtual motor is selected, with both adjacent motors within a 10° band around a quadrant boundary. An accepted class with trusted direction gives a directional warning. Otherwise the accepted class can wait to K, then give a general four-motor warning; an urgency threshold bypasses waiting. Later valid directions may refine a general warning.</w:t>
      </w:r>
    </w:p>
    <w:p>
      <w:r>
        <w:rPr>
          <w:b w:val="0"/>
        </w:rPr>
        <w:t>All policies share per-class suppression. Release requires a score below 0.20 for three windows, or an 8 s reminder timeout. Direction updates require a 60° change and a 1 s minimum gap and are excluded from first-alert detection metrics. The optional spatial class prior is disabled. Thresholds are fixed before the new test runs; none is tuned to obtain a desired result on the expanded dataset.</w:t>
      </w:r>
    </w:p>
    <w:p>
      <w:pPr>
        <w:keepNext/>
        <w:spacing w:line="240" w:lineRule="auto"/>
        <w:ind w:firstLine="0"/>
        <w:jc w:val="center"/>
      </w:pPr>
      <w:r>
        <w:rPr>
          <w:b w:val="0"/>
        </w:rPr>
      </w:r>
      <w:r>
        <w:drawing>
          <wp:inline xmlns:a="http://schemas.openxmlformats.org/drawingml/2006/main" xmlns:pic="http://schemas.openxmlformats.org/drawingml/2006/picture">
            <wp:extent cx="5120640" cy="3243072"/>
            <wp:docPr id="1" name="Picture 1" descr="Class acceptance and spatial acceptance lead to directional, general, or rejected virtual warnings"/>
            <wp:cNvGraphicFramePr>
              <a:graphicFrameLocks noChangeAspect="1"/>
            </wp:cNvGraphicFramePr>
            <a:graphic>
              <a:graphicData uri="http://schemas.openxmlformats.org/drawingml/2006/picture">
                <pic:pic>
                  <pic:nvPicPr>
                    <pic:cNvPr id="0" name="policy.png"/>
                    <pic:cNvPicPr/>
                  </pic:nvPicPr>
                  <pic:blipFill>
                    <a:blip r:embed="rId10"/>
                    <a:stretch>
                      <a:fillRect/>
                    </a:stretch>
                  </pic:blipFill>
                  <pic:spPr>
                    <a:xfrm>
                      <a:off x="0" y="0"/>
                      <a:ext cx="5120640" cy="3243072"/>
                    </a:xfrm>
                    <a:prstGeom prst="rect"/>
                  </pic:spPr>
                </pic:pic>
              </a:graphicData>
            </a:graphic>
          </wp:inline>
        </w:drawing>
      </w:r>
    </w:p>
    <w:p>
      <w:pPr>
        <w:pStyle w:val="Caption"/>
        <w:ind w:firstLine="0"/>
      </w:pPr>
      <w:r>
        <w:rPr>
          <w:b w:val="0"/>
        </w:rPr>
        <w:t>Fig. 1. DEDA separates class acceptance from spatial specificity. Outputs are virtual commands, not measured vibrations.</w:t>
      </w:r>
    </w:p>
    <w:p>
      <w:pPr>
        <w:pStyle w:val="Heading1"/>
      </w:pPr>
      <w:r>
        <w:rPr>
          <w:b w:val="0"/>
        </w:rPr>
        <w:t>4 Expanded Dataset and Experimental Design</w:t>
      </w:r>
    </w:p>
    <w:p>
      <w:r>
        <w:rPr>
          <w:b w:val="0"/>
        </w:rPr>
        <w:t>The primary dataset contains 100 new pseudorandom streams, seeds 3001–3100, each 20 simulated minutes: 33.33 generated hours and 3,594 critical events. These replace neither the historical four-seed experiment nor the earlier 20-stream analysis; results are reported separately and are not pooled. All policies see identical windows within a stream. There is no classifier training, clip collection or real recording session. Independent seeds quantify variability within the generator, not diversity of actual environments.</w:t>
      </w:r>
    </w:p>
    <w:p>
      <w:r>
        <w:rPr>
          <w:b w:val="0"/>
        </w:rPr>
        <w:t>The fixed baseline threshold is 0.70. DEDA retains immediate thresholds (1.25, 1.45, 1.65, 1.25), floor thresholds (−0.15, 0.05, 0.25, −0.15), and urgency thresholds (2.25, 2.25, 2.45, 2.25), in horn/siren/shout/beep order. These derive from median historical calibration selections, distinct from the new seeds. All ablations retain the class thresholds. Runtime piloting and additional diagnostics do not retune the policy. The expanded analysis is not presented as a preregistered field trial.</w:t>
      </w:r>
    </w:p>
    <w:p>
      <w:r>
        <w:rPr>
          <w:b w:val="0"/>
        </w:rPr>
        <w:t>Events occur nominally twice per minute, last 0.6–3 s, and have uniform critical classes. The score model has a 192 ms onset ramp, AR(1) noise coefficient 0.5, logit-noise standard deviation 1 and 8% competing-class boosts. Three latent regimes have bad-direction probabilities 0.10, 0.25 and 0.45; they are not measured distances. By default 70% of bad observations explicitly fail a reliability check and 2% of directions are missing. Short and persistent ambient score confusers are included. These are chosen assumptions, not estimated error distributions.</w:t>
      </w:r>
    </w:p>
    <w:p>
      <w:r>
        <w:rPr>
          <w:b w:val="0"/>
        </w:rPr>
        <w:t>Seven stress conditions use seeds 4001–4030, with 30 streams per condition: check-failure sensitivities 0%, 35% and 100%; 64–250 ms bursts; class-score correlation 0.9; a coherent 180° localization error; and 20% missing direction. Deadline sensitivity uses separate seeds 5001–5030 for D = 150, 300 and 500 ms on the same 30 streams. In total there are 340 condition–seed stream realizations, or 113.33 generated hours. Reusing seed IDs across stress conditions does not make them independent recording sessions, and parameter changes may alter random-number consumption.</w:t>
      </w:r>
    </w:p>
    <w:p>
      <w:r>
        <w:rPr>
          <w:b w:val="0"/>
        </w:rPr>
        <w:t>A separate front-end study uses 4,200 synthetic 64 ms scenes at 16 kHz: seven conditions × three virtual triangle sides (25, 35, 50 mm) × two SNRs (20, 0 dB) × two source types × 50 seeds (6001–6050). Each scene is analyzed with all bins and strongest 25%, yielding 8,400 estimates. Both broadband and harmonic 420 Hz sources are tested at every seed direction, covering four cardinal directions with ±20° jitter. Layout, SNR and bin-choice comparisons reuse each seed’s source. This is not a natural-sound recognition dataset.</w:t>
      </w:r>
    </w:p>
    <w:p>
      <w:r>
        <w:rPr>
          <w:b w:val="0"/>
        </w:rPr>
        <w:t>Conditions are clean free field; an equal-amplitude broadband competing source at +135°; a 0.7-gain, 12 ms delayed copy from +120°; a three-sample mic-3 offset; correlated microphone noise with 80% common variance; gains (1, 0.5, 0.25); and a moving surrogate cross-fading five source directions from −30° to +30° within a window. The moving comparison uses the centre azimuth and omits Doppler and physical motion. A single delayed copy is not a validated reverberant-room model. Fixed gates across layouts test sensitivity, not calibrated layout transfer.</w:t>
      </w:r>
    </w:p>
    <w:p>
      <w:r>
        <w:rPr>
          <w:b w:val="0"/>
        </w:rPr>
        <w:t>A emits a general warning after a fixed class threshold. B adds the raw single-window angle. G rejects a prospective alert if the same geometric gate fails; F instead emits an immediate general warning. Full DEDA adds episode evidence and waiting. Fixed-setting ablations remove all reliability, closure, norm, coherence acceptance, sequential evidence, direction waiting or fallback. A supplementary single-motor DEDA control sets the boundary band to zero, checking whether two-motor tolerance alone explains the directional gain.</w:t>
      </w:r>
    </w:p>
    <w:p>
      <w:pPr>
        <w:pStyle w:val="Caption"/>
        <w:keepNext/>
        <w:ind w:firstLine="0"/>
      </w:pPr>
      <w:r>
        <w:rPr>
          <w:b w:val="0"/>
        </w:rPr>
        <w:t>Table 2  Dataset inventory and independent units</w:t>
      </w:r>
    </w:p>
    <w:tbl>
      <w:tblPr>
        <w:tblW w:type="auto" w:w="0"/>
        <w:tblLayout w:type="fixed"/>
        <w:tblLook w:firstColumn="1" w:firstRow="1" w:lastColumn="0" w:lastRow="0" w:noHBand="0" w:noVBand="1" w:val="04A0"/>
      </w:tblPr>
      <w:tblGrid>
        <w:gridCol w:w="1944"/>
        <w:gridCol w:w="3312"/>
        <w:gridCol w:w="3096"/>
      </w:tblGrid>
      <w:tr>
        <w:trPr>
          <w:cantSplit/>
          <w:tblHeader/>
        </w:trPr>
        <w:tc>
          <w:tcPr>
            <w:tcW w:type="dxa" w:w="1944"/>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left"/>
            </w:pPr>
            <w:r>
              <w:rPr>
                <w:b/>
                <w:sz w:val="18"/>
              </w:rPr>
              <w:t>Dataset partition</w:t>
            </w:r>
          </w:p>
        </w:tc>
        <w:tc>
          <w:tcPr>
            <w:tcW w:type="dxa" w:w="3312"/>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Seeds and size</w:t>
            </w:r>
          </w:p>
        </w:tc>
        <w:tc>
          <w:tcPr>
            <w:tcW w:type="dxa" w:w="3096"/>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Interpretation</w:t>
            </w:r>
          </w:p>
        </w:tc>
      </w:tr>
      <w:tr>
        <w:trPr>
          <w:cantSplit/>
        </w:trP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Primary decision evaluation</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3001–3100; 100 × 20 min; 3,594 events</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Independent pseudorandom streams; no audio recordings.</w:t>
            </w:r>
          </w:p>
        </w:tc>
      </w:tr>
      <w:tr>
        <w:trPr>
          <w:cantSplit/>
        </w:trP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Stress conditions</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4001–4030; 7 × 30 streams</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Seed IDs reused across conditions; do not pool as independent sessions.</w:t>
            </w:r>
          </w:p>
        </w:tc>
      </w:tr>
      <w:tr>
        <w:trPr>
          <w:cantSplit/>
        </w:trP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Deadline sensitivity</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5001–5030; 30 × 20 min</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Same streams across D = 150, 300, 500 ms.</w:t>
            </w:r>
          </w:p>
        </w:tc>
      </w:tr>
      <w:tr>
        <w:trPr>
          <w:cantSplit/>
        </w:trP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Acoustic scenes</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6001–6050; 4,200 scenes; 8,400 bin estimates</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50 seed clusters × 7 conditions × 3 layouts × 2 SNRs × 2 source types; paired bins.</w:t>
            </w:r>
          </w:p>
        </w:tc>
      </w:tr>
      <w:tr>
        <w:trPr>
          <w:cantSplit/>
        </w:trPr>
        <w:tc>
          <w:tcPr>
            <w:tcW w:type="dxa" w:w="194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Historical calibration</w:t>
            </w:r>
          </w:p>
        </w:tc>
        <w:tc>
          <w:tcPr>
            <w:tcW w:type="dxa" w:w="331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Existing calibration metadata only</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Frozen settings; new test seeds are not used for fitting.</w:t>
            </w:r>
          </w:p>
        </w:tc>
      </w:tr>
    </w:tbl>
    <w:p>
      <w:pPr>
        <w:spacing w:after="0" w:line="60" w:lineRule="exact"/>
      </w:pPr>
      <w:r>
        <w:rPr>
          <w:b w:val="0"/>
        </w:rPr>
      </w:r>
    </w:p>
    <w:p>
      <w:r>
        <w:rPr>
          <w:b w:val="0"/>
        </w:rPr>
        <w:t>There is no train/test split of audio clips because there are no audio recordings or classifier training examples. Leakage control is instead achieved by disjoint pseudorandom seed namespaces and frozen parameters, with separate acoustic and policy tests. Future real-data work must split entire clip identities and sessions before calibration; synthetic seed separation cannot substitute for that control. One pilot main seed was used to check runtime without retuning and remains in the fixed 100-stream set.</w:t>
      </w:r>
    </w:p>
    <w:p>
      <w:pPr>
        <w:pStyle w:val="Heading1"/>
      </w:pPr>
      <w:r>
        <w:rPr>
          <w:b w:val="0"/>
        </w:rPr>
        <w:t>5 Metrics and Statistical Analysis</w:t>
      </w:r>
    </w:p>
    <w:p>
      <w:r>
        <w:rPr>
          <w:b w:val="0"/>
        </w:rPr>
        <w:t>For non-overlapping generated events, the first non-update alert from onset to offset plus 500 ms defines the event outcome. Wrong-direction rate is wrong directional first alerts divided by all critical events; a motor set is correct when it includes the true quadrant. Missed-event rate is no associated first alert divided by all events. Missed-or-late rate counts no alert or latency above 300 ms. General-warning fraction uses detected events. Angular MAE averages wrapped error only over directional first detections. Simulated latency is alert timestamp minus generated onset; p50 and p95 are conditional on detection, not physical onset-to-vibration measurements.</w:t>
      </w:r>
    </w:p>
    <w:p>
      <w:r>
        <w:rPr>
          <w:b w:val="0"/>
        </w:rPr>
        <w:t>False alerts per ambient hour count unmatched non-update alerts; ambient exposure excludes event and 500 ms grace intervals. Additional alerts within an event are not false positives under this matcher. Wrong-class first alerts count as detections for timing, so correct-class and timely-correct-class detection are reported separately. Total notifications per total hour additionally count all non-update outputs, including within-event repetitions. Overlapping real events would require one-to-one class-aware matching. Conditional angle error must be read with directional coverage and fallback fraction.</w:t>
      </w:r>
    </w:p>
    <w:p>
      <w:r>
        <w:rPr>
          <w:b w:val="0"/>
        </w:rPr>
        <w:t>Primary point estimates are unweighted means of per-stream metrics. Ninety-five percent percentile intervals use 20,000 complete-stream bootstrap resamples, preserving within-stream dependence. Paired DEDA-minus-comparator differences use the same resample indices. Exploratory sign-flip tests use 100,000 assignments, a plus-one correction and the assumption of symmetric paired differences. Holm correction covers 16 contrasts: four metrics against B, G, F and no-direction-wait DEDA. Mean stream p95 is not pooled event p95. The acoustic bin comparison bootstraps 50 seed clusters, preserving layout/SNR dependence within a seed. Intervals are pointwise, not simultaneous guarantees across every result.</w:t>
      </w:r>
    </w:p>
    <w:p>
      <w:pPr>
        <w:pStyle w:val="Caption"/>
        <w:keepNext/>
        <w:ind w:firstLine="0"/>
      </w:pPr>
      <w:r>
        <w:rPr>
          <w:b w:val="0"/>
        </w:rPr>
        <w:t>Table 3  Explicit metric definitions</w:t>
      </w:r>
    </w:p>
    <w:tbl>
      <w:tblPr>
        <w:tblW w:type="auto" w:w="0"/>
        <w:tblLayout w:type="fixed"/>
        <w:tblLook w:firstColumn="1" w:firstRow="1" w:lastColumn="0" w:lastRow="0" w:noHBand="0" w:noVBand="1" w:val="04A0"/>
      </w:tblPr>
      <w:tblGrid>
        <w:gridCol w:w="2592"/>
        <w:gridCol w:w="5760"/>
      </w:tblGrid>
      <w:tr>
        <w:trPr>
          <w:cantSplit/>
          <w:tblHeader/>
        </w:trPr>
        <w:tc>
          <w:tcPr>
            <w:tcW w:type="dxa" w:w="2592"/>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left"/>
            </w:pPr>
            <w:r>
              <w:rPr>
                <w:b/>
                <w:sz w:val="18"/>
              </w:rPr>
              <w:t>Metric</w:t>
            </w:r>
          </w:p>
        </w:tc>
        <w:tc>
          <w:tcPr>
            <w:tcW w:type="dxa" w:w="5760"/>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left"/>
            </w:pPr>
            <w:r>
              <w:rPr>
                <w:b/>
                <w:sz w:val="18"/>
              </w:rPr>
              <w:t>Numerator and denominator or conditioning</w:t>
            </w:r>
          </w:p>
        </w:tc>
      </w:tr>
      <w:tr>
        <w:trPr>
          <w:cantSplit/>
        </w:trPr>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Wrong direction / event</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Wrong directional first alerts / all critical events; true quadrant excluded by motor set.</w:t>
            </w:r>
          </w:p>
        </w:tc>
      </w:tr>
      <w:tr>
        <w:trPr>
          <w:cantSplit/>
        </w:trPr>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Missed event</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No first alert within onset–offset+500 ms / all critical events.</w:t>
            </w:r>
          </w:p>
        </w:tc>
      </w:tr>
      <w:tr>
        <w:trPr>
          <w:cantSplit/>
        </w:trPr>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Missed or late</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No first alert or latency &gt;300 ms / all critical events.</w:t>
            </w:r>
          </w:p>
        </w:tc>
      </w:tr>
      <w:tr>
        <w:trPr>
          <w:cantSplit/>
        </w:trPr>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General warning fraction</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General first warnings / detected critical events.</w:t>
            </w:r>
          </w:p>
        </w:tc>
      </w:tr>
      <w:tr>
        <w:trPr>
          <w:cantSplit/>
        </w:trPr>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Angular MAE</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Mean wrapped azimuth error over directional first detections; abstentions excluded.</w:t>
            </w:r>
          </w:p>
        </w:tc>
      </w:tr>
      <w:tr>
        <w:trPr>
          <w:cantSplit/>
        </w:trPr>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False alerts / ambient hour</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Unmatched non-update alerts / time outside event+grace intervals.</w:t>
            </w:r>
          </w:p>
        </w:tc>
      </w:tr>
      <w:tr>
        <w:trPr>
          <w:cantSplit/>
        </w:trPr>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Simulated latency</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First-alert timestamp minus generated onset; per-stream p50/p95 averaged across streams.</w:t>
            </w:r>
          </w:p>
        </w:tc>
      </w:tr>
      <w:tr>
        <w:trPr>
          <w:cantSplit/>
        </w:trPr>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Correct-class and timely correct-class</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First alert matches class, with/without the 300 ms timing constraint, divided by all events.</w:t>
            </w:r>
          </w:p>
        </w:tc>
      </w:tr>
      <w:tr>
        <w:trPr>
          <w:cantSplit/>
        </w:trPr>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Directional coverage</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Directional first detections / all critical events.</w:t>
            </w:r>
          </w:p>
        </w:tc>
      </w:tr>
      <w:tr>
        <w:trPr>
          <w:cantSplit/>
        </w:trPr>
        <w:tc>
          <w:tcPr>
            <w:tcW w:type="dxa" w:w="259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Total notification burden</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All non-update alerts / total stream hours, including repeated within-event outputs.</w:t>
            </w:r>
          </w:p>
        </w:tc>
      </w:tr>
    </w:tbl>
    <w:p>
      <w:pPr>
        <w:spacing w:after="0" w:line="60" w:lineRule="exact"/>
      </w:pPr>
      <w:r>
        <w:rPr>
          <w:b w:val="0"/>
        </w:rPr>
      </w:r>
    </w:p>
    <w:p>
      <w:r>
        <w:rPr>
          <w:b w:val="0"/>
        </w:rPr>
        <w:t>No interval is a guarantee of environmental accuracy, user safety or zero deployment risk. A zero observed failure in a synthetic cell does not prove that a condition is harmless. The single-motor control and acoustic confidence intervals are supplementary descriptive analyses; significance claims are restricted to the stated 16-contrast family. No test treats individual windows as independent participants or recordings.</w:t>
      </w:r>
    </w:p>
    <w:p>
      <w:pPr>
        <w:pStyle w:val="Heading1"/>
      </w:pPr>
      <w:r>
        <w:rPr>
          <w:b w:val="0"/>
        </w:rPr>
        <w:t>6 Expanded Primary Results</w:t>
      </w:r>
    </w:p>
    <w:p>
      <w:pPr>
        <w:pStyle w:val="Caption"/>
        <w:keepNext/>
        <w:ind w:firstLine="0"/>
      </w:pPr>
      <w:r>
        <w:rPr>
          <w:b w:val="0"/>
        </w:rPr>
        <w:t>Table 4  Mean stream rates and 95 percent intervals</w:t>
      </w:r>
    </w:p>
    <w:tbl>
      <w:tblPr>
        <w:tblW w:type="auto" w:w="0"/>
        <w:tblLayout w:type="fixed"/>
        <w:tblLook w:firstColumn="1" w:firstRow="1" w:lastColumn="0" w:lastRow="0" w:noHBand="0" w:noVBand="1" w:val="04A0"/>
      </w:tblPr>
      <w:tblGrid>
        <w:gridCol w:w="864"/>
        <w:gridCol w:w="2376"/>
        <w:gridCol w:w="936"/>
        <w:gridCol w:w="2376"/>
        <w:gridCol w:w="1800"/>
      </w:tblGrid>
      <w:tr>
        <w:trPr>
          <w:cantSplit/>
          <w:tblHeader/>
        </w:trPr>
        <w:tc>
          <w:tcPr>
            <w:tcW w:type="dxa" w:w="864"/>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left"/>
            </w:pPr>
            <w:r>
              <w:rPr>
                <w:b/>
                <w:sz w:val="18"/>
              </w:rPr>
              <w:t>Policy</w:t>
            </w:r>
          </w:p>
        </w:tc>
        <w:tc>
          <w:tcPr>
            <w:tcW w:type="dxa" w:w="2376"/>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Wrong % [CI]</w:t>
            </w:r>
          </w:p>
        </w:tc>
        <w:tc>
          <w:tcPr>
            <w:tcW w:type="dxa" w:w="936"/>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Miss %</w:t>
            </w:r>
          </w:p>
        </w:tc>
        <w:tc>
          <w:tcPr>
            <w:tcW w:type="dxa" w:w="2376"/>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Miss/late % [CI]</w:t>
            </w:r>
          </w:p>
        </w:tc>
        <w:tc>
          <w:tcPr>
            <w:tcW w:type="dxa" w:w="1800"/>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General %</w:t>
            </w:r>
          </w:p>
        </w:tc>
      </w:tr>
      <w:tr>
        <w:trPr>
          <w:cantSplit/>
        </w:trPr>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A</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0.00 [0.00, 0.00]</w:t>
            </w:r>
          </w:p>
        </w:tc>
        <w:tc>
          <w:tcPr>
            <w:tcW w:type="dxa" w:w="9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0.17</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10.2 [8.9, 11.5]</w:t>
            </w:r>
          </w:p>
        </w:tc>
        <w:tc>
          <w:tcPr>
            <w:tcW w:type="dxa" w:w="180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100.0</w:t>
            </w:r>
          </w:p>
        </w:tc>
      </w:tr>
      <w:tr>
        <w:trPr>
          <w:cantSplit/>
        </w:trPr>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B</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20.31 [18.98, 21.62]</w:t>
            </w:r>
          </w:p>
        </w:tc>
        <w:tc>
          <w:tcPr>
            <w:tcW w:type="dxa" w:w="9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0.17</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10.2 [8.9, 11.5]</w:t>
            </w:r>
          </w:p>
        </w:tc>
        <w:tc>
          <w:tcPr>
            <w:tcW w:type="dxa" w:w="180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1.4</w:t>
            </w:r>
          </w:p>
        </w:tc>
      </w:tr>
      <w:tr>
        <w:trPr>
          <w:cantSplit/>
        </w:trPr>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G</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9.16 [8.26, 10.07]</w:t>
            </w:r>
          </w:p>
        </w:tc>
        <w:tc>
          <w:tcPr>
            <w:tcW w:type="dxa" w:w="9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0.22</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15.0 [13.7, 16.5]</w:t>
            </w:r>
          </w:p>
        </w:tc>
        <w:tc>
          <w:tcPr>
            <w:tcW w:type="dxa" w:w="180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0.0</w:t>
            </w:r>
          </w:p>
        </w:tc>
      </w:tr>
      <w:tr>
        <w:trPr>
          <w:cantSplit/>
        </w:trPr>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F</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6.83 [6.09, 7.58]</w:t>
            </w:r>
          </w:p>
        </w:tc>
        <w:tc>
          <w:tcPr>
            <w:tcW w:type="dxa" w:w="9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0.17</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10.2 [8.9, 11.5]</w:t>
            </w:r>
          </w:p>
        </w:tc>
        <w:tc>
          <w:tcPr>
            <w:tcW w:type="dxa" w:w="180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19.6</w:t>
            </w:r>
          </w:p>
        </w:tc>
      </w:tr>
      <w:tr>
        <w:trPr>
          <w:cantSplit/>
        </w:trPr>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DEDA</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2.45 [1.93, 3.01]</w:t>
            </w:r>
          </w:p>
        </w:tc>
        <w:tc>
          <w:tcPr>
            <w:tcW w:type="dxa" w:w="9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0.17</w:t>
            </w:r>
          </w:p>
        </w:tc>
        <w:tc>
          <w:tcPr>
            <w:tcW w:type="dxa" w:w="237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15.3 [14.0, 16.7]</w:t>
            </w:r>
          </w:p>
        </w:tc>
        <w:tc>
          <w:tcPr>
            <w:tcW w:type="dxa" w:w="180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14.1</w:t>
            </w:r>
          </w:p>
        </w:tc>
      </w:tr>
    </w:tbl>
    <w:p>
      <w:pPr>
        <w:spacing w:after="0" w:line="60" w:lineRule="exact"/>
      </w:pPr>
      <w:r>
        <w:rPr>
          <w:b w:val="0"/>
        </w:rPr>
      </w:r>
    </w:p>
    <w:p>
      <w:r>
        <w:rPr>
          <w:b w:val="0"/>
        </w:rPr>
        <w:t>DEDA gives 2.45 [1.93, 3.01]% wrong-direction events, versus 20.31 [18.98, 21.62]% for B. The paired difference is -17.86 [-19.19, -16.52] percentage points. Missed-or-late events increase by +5.12 [+4.12, +6.16] points; both primary contrasts have Holm-adjusted p &lt; 0.001. The directional reduction is supported within this generator, but equivalent timeliness is not. A two-point non-inferiority margin is not supported.</w:t>
      </w:r>
    </w:p>
    <w:p>
      <w:r>
        <w:rPr>
          <w:b w:val="0"/>
        </w:rPr>
        <w:t>Against immediate fallback F, DEDA reduces wrong direction by 4.38 points but increases missed-or-late events by 5.12 points. General warnings are 14.1% of DEDA detections and 19.6% for F. G has fewer false alerts but withholds more warnings. A has zero wrong directions by construction because it never provides a direction. No policy can be ranked from wrong-direction percentage alone.</w:t>
      </w:r>
    </w:p>
    <w:p>
      <w:pPr>
        <w:pStyle w:val="Caption"/>
        <w:keepNext/>
        <w:ind w:firstLine="0"/>
      </w:pPr>
      <w:r>
        <w:rPr>
          <w:b w:val="0"/>
        </w:rPr>
        <w:t>Table 5  Conditional direction error and modeled latency</w:t>
      </w:r>
    </w:p>
    <w:tbl>
      <w:tblPr>
        <w:tblW w:type="auto" w:w="0"/>
        <w:tblLayout w:type="fixed"/>
        <w:tblLook w:firstColumn="1" w:firstRow="1" w:lastColumn="0" w:lastRow="0" w:noHBand="0" w:noVBand="1" w:val="04A0"/>
      </w:tblPr>
      <w:tblGrid>
        <w:gridCol w:w="864"/>
        <w:gridCol w:w="1440"/>
        <w:gridCol w:w="1440"/>
        <w:gridCol w:w="2304"/>
        <w:gridCol w:w="2304"/>
      </w:tblGrid>
      <w:tr>
        <w:trPr>
          <w:cantSplit/>
          <w:tblHeader/>
        </w:trPr>
        <w:tc>
          <w:tcPr>
            <w:tcW w:type="dxa" w:w="864"/>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left"/>
            </w:pPr>
            <w:r>
              <w:rPr>
                <w:b/>
                <w:sz w:val="18"/>
              </w:rPr>
              <w:t>Policy</w:t>
            </w:r>
          </w:p>
        </w:tc>
        <w:tc>
          <w:tcPr>
            <w:tcW w:type="dxa" w:w="1440"/>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False/h</w:t>
            </w:r>
          </w:p>
        </w:tc>
        <w:tc>
          <w:tcPr>
            <w:tcW w:type="dxa" w:w="1440"/>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MAE °</w:t>
            </w:r>
          </w:p>
        </w:tc>
        <w:tc>
          <w:tcPr>
            <w:tcW w:type="dxa" w:w="2304"/>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p50/p95 ms</w:t>
            </w:r>
          </w:p>
        </w:tc>
        <w:tc>
          <w:tcPr>
            <w:tcW w:type="dxa" w:w="2304"/>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Wrong/DIR %</w:t>
            </w:r>
          </w:p>
        </w:tc>
      </w:tr>
      <w:tr>
        <w:trPr>
          <w:cantSplit/>
        </w:trPr>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B</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306.4</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33.0</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167/369</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20.6</w:t>
            </w:r>
          </w:p>
        </w:tc>
      </w:tr>
      <w:tr>
        <w:trPr>
          <w:cantSplit/>
        </w:trPr>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G</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129.2</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21.4</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181/425</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9.2</w:t>
            </w:r>
          </w:p>
        </w:tc>
      </w:tr>
      <w:tr>
        <w:trPr>
          <w:cantSplit/>
        </w:trPr>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F</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306.4</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20.6</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167/369</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8.5</w:t>
            </w:r>
          </w:p>
        </w:tc>
      </w:tr>
      <w:tr>
        <w:trPr>
          <w:cantSplit/>
        </w:trPr>
        <w:tc>
          <w:tcPr>
            <w:tcW w:type="dxa" w:w="86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DEDA</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286.8</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13.7</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198/413</w:t>
            </w:r>
          </w:p>
        </w:tc>
        <w:tc>
          <w:tcPr>
            <w:tcW w:type="dxa" w:w="2304"/>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2.8</w:t>
            </w:r>
          </w:p>
        </w:tc>
      </w:tr>
    </w:tbl>
    <w:p>
      <w:pPr>
        <w:spacing w:after="0" w:line="60" w:lineRule="exact"/>
      </w:pPr>
      <w:r>
        <w:rPr>
          <w:b w:val="0"/>
        </w:rPr>
      </w:r>
    </w:p>
    <w:p>
      <w:r>
        <w:rPr>
          <w:b w:val="0"/>
        </w:rPr>
        <w:t>DEDA’s false-alert rate is 286.8 [281.7, 291.8]/ambient h, compared with 306.4/h for B. Although the paired reduction is statistically detectable here, roughly one false alert every 12.6 simulated ambient seconds remains unsuitable evidence of acceptable notification burden. Correct-class detection is 94.2%; timely correct-class detection is 80.2%. Neither is measured real-audio recognition accuracy.</w:t>
      </w:r>
    </w:p>
    <w:p>
      <w:pPr>
        <w:pStyle w:val="Caption"/>
        <w:keepNext/>
        <w:ind w:firstLine="0"/>
      </w:pPr>
      <w:r>
        <w:rPr>
          <w:b w:val="0"/>
        </w:rPr>
        <w:t>Table 6  Additional outcomes with mean stream estimates</w:t>
      </w:r>
    </w:p>
    <w:tbl>
      <w:tblPr>
        <w:tblW w:type="auto" w:w="0"/>
        <w:tblLayout w:type="fixed"/>
        <w:tblLook w:firstColumn="1" w:firstRow="1" w:lastColumn="0" w:lastRow="0" w:noHBand="0" w:noVBand="1" w:val="04A0"/>
      </w:tblPr>
      <w:tblGrid>
        <w:gridCol w:w="1008"/>
        <w:gridCol w:w="1728"/>
        <w:gridCol w:w="2016"/>
        <w:gridCol w:w="1872"/>
        <w:gridCol w:w="1728"/>
      </w:tblGrid>
      <w:tr>
        <w:trPr>
          <w:cantSplit/>
          <w:tblHeader/>
        </w:trPr>
        <w:tc>
          <w:tcPr>
            <w:tcW w:type="dxa" w:w="1008"/>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left"/>
            </w:pPr>
            <w:r>
              <w:rPr>
                <w:b/>
                <w:sz w:val="18"/>
              </w:rPr>
              <w:t>Policy</w:t>
            </w:r>
          </w:p>
        </w:tc>
        <w:tc>
          <w:tcPr>
            <w:tcW w:type="dxa" w:w="1728"/>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Correct class %</w:t>
            </w:r>
          </w:p>
        </w:tc>
        <w:tc>
          <w:tcPr>
            <w:tcW w:type="dxa" w:w="2016"/>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Timely correct class %</w:t>
            </w:r>
          </w:p>
        </w:tc>
        <w:tc>
          <w:tcPr>
            <w:tcW w:type="dxa" w:w="1872"/>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Directional coverage %</w:t>
            </w:r>
          </w:p>
        </w:tc>
        <w:tc>
          <w:tcPr>
            <w:tcW w:type="dxa" w:w="1728"/>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Notifications / total h</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A</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90.0</w:t>
            </w:r>
          </w:p>
        </w:tc>
        <w:tc>
          <w:tcPr>
            <w:tcW w:type="dxa" w:w="20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81.4</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0.0</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571.5</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B</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90.0</w:t>
            </w:r>
          </w:p>
        </w:tc>
        <w:tc>
          <w:tcPr>
            <w:tcW w:type="dxa" w:w="20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81.4</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98.4</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571.5</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G</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90.5</w:t>
            </w:r>
          </w:p>
        </w:tc>
        <w:tc>
          <w:tcPr>
            <w:tcW w:type="dxa" w:w="20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77.4</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99.8</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370.0</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F</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90.0</w:t>
            </w:r>
          </w:p>
        </w:tc>
        <w:tc>
          <w:tcPr>
            <w:tcW w:type="dxa" w:w="20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81.4</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80.3</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571.5</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DEDA</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94.2</w:t>
            </w:r>
          </w:p>
        </w:tc>
        <w:tc>
          <w:tcPr>
            <w:tcW w:type="dxa" w:w="20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80.2</w:t>
            </w:r>
          </w:p>
        </w:tc>
        <w:tc>
          <w:tcPr>
            <w:tcW w:type="dxa" w:w="18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85.8</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520.8</w:t>
            </w:r>
          </w:p>
        </w:tc>
      </w:tr>
    </w:tbl>
    <w:p>
      <w:pPr>
        <w:spacing w:after="0" w:line="60" w:lineRule="exact"/>
      </w:pPr>
      <w:r>
        <w:rPr>
          <w:b w:val="0"/>
        </w:rPr>
      </w:r>
    </w:p>
    <w:p>
      <w:r>
        <w:rPr>
          <w:b w:val="0"/>
        </w:rPr>
        <w:t>Historical wrong-direction rates of 23.5% versus 2.7% came from four earlier synthetic test streams. The earlier 20-stream analysis gave 23.1% versus 2.9%. Those are not real-device results and are not the expanded test estimates. Sampling changes account for differing point estimates; the three studies must not be merged or selectively substituted. The expanded study also no longer supports a statement of zero observed DEDA misses.</w:t>
      </w:r>
    </w:p>
    <w:p>
      <w:pPr>
        <w:pStyle w:val="Heading1"/>
      </w:pPr>
      <w:r>
        <w:rPr>
          <w:b w:val="0"/>
        </w:rPr>
        <w:t>7 Relative Importance of Components</w:t>
      </w:r>
    </w:p>
    <w:p>
      <w:pPr>
        <w:pStyle w:val="Caption"/>
        <w:keepNext/>
        <w:ind w:firstLine="0"/>
      </w:pPr>
      <w:r>
        <w:rPr>
          <w:b w:val="0"/>
        </w:rPr>
        <w:t>Table 7  Fixed-setting ablations on the same 100 streams</w:t>
      </w:r>
    </w:p>
    <w:tbl>
      <w:tblPr>
        <w:tblW w:type="auto" w:w="0"/>
        <w:tblLayout w:type="fixed"/>
        <w:tblLook w:firstColumn="1" w:firstRow="1" w:lastColumn="0" w:lastRow="0" w:noHBand="0" w:noVBand="1" w:val="04A0"/>
      </w:tblPr>
      <w:tblGrid>
        <w:gridCol w:w="2736"/>
        <w:gridCol w:w="1440"/>
        <w:gridCol w:w="1728"/>
        <w:gridCol w:w="1440"/>
        <w:gridCol w:w="1008"/>
      </w:tblGrid>
      <w:tr>
        <w:trPr>
          <w:cantSplit/>
          <w:tblHeader/>
        </w:trPr>
        <w:tc>
          <w:tcPr>
            <w:tcW w:type="dxa" w:w="2736"/>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left"/>
            </w:pPr>
            <w:r>
              <w:rPr>
                <w:b/>
                <w:sz w:val="18"/>
              </w:rPr>
              <w:t>Variant</w:t>
            </w:r>
          </w:p>
        </w:tc>
        <w:tc>
          <w:tcPr>
            <w:tcW w:type="dxa" w:w="1440"/>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Wrong %</w:t>
            </w:r>
          </w:p>
        </w:tc>
        <w:tc>
          <w:tcPr>
            <w:tcW w:type="dxa" w:w="1728"/>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Miss/late %</w:t>
            </w:r>
          </w:p>
        </w:tc>
        <w:tc>
          <w:tcPr>
            <w:tcW w:type="dxa" w:w="1440"/>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False/h</w:t>
            </w:r>
          </w:p>
        </w:tc>
        <w:tc>
          <w:tcPr>
            <w:tcW w:type="dxa" w:w="1008"/>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General %</w:t>
            </w:r>
          </w:p>
        </w:tc>
      </w:tr>
      <w:tr>
        <w:trPr>
          <w:cantSplit/>
        </w:trPr>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DEDA</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2.45</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15.3</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286.8</w:t>
            </w:r>
          </w:p>
        </w:tc>
        <w:tc>
          <w:tcPr>
            <w:tcW w:type="dxa" w:w="10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14.1</w:t>
            </w:r>
          </w:p>
        </w:tc>
      </w:tr>
      <w:tr>
        <w:trPr>
          <w:cantSplit/>
        </w:trPr>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No reliability</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7.96</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14.5</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287.2</w:t>
            </w:r>
          </w:p>
        </w:tc>
        <w:tc>
          <w:tcPr>
            <w:tcW w:type="dxa" w:w="10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17.9</w:t>
            </w:r>
          </w:p>
        </w:tc>
      </w:tr>
      <w:tr>
        <w:trPr>
          <w:cantSplit/>
        </w:trPr>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No closure</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4.02</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15.2</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286.8</w:t>
            </w:r>
          </w:p>
        </w:tc>
        <w:tc>
          <w:tcPr>
            <w:tcW w:type="dxa" w:w="10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16.3</w:t>
            </w:r>
          </w:p>
        </w:tc>
      </w:tr>
      <w:tr>
        <w:trPr>
          <w:cantSplit/>
        </w:trPr>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No norm</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3.49</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15.1</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286.8</w:t>
            </w:r>
          </w:p>
        </w:tc>
        <w:tc>
          <w:tcPr>
            <w:tcW w:type="dxa" w:w="10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15.8</w:t>
            </w:r>
          </w:p>
        </w:tc>
      </w:tr>
      <w:tr>
        <w:trPr>
          <w:cantSplit/>
        </w:trPr>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No coherence</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6.48</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14.5</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286.9</w:t>
            </w:r>
          </w:p>
        </w:tc>
        <w:tc>
          <w:tcPr>
            <w:tcW w:type="dxa" w:w="10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9.5</w:t>
            </w:r>
          </w:p>
        </w:tc>
      </w:tr>
      <w:tr>
        <w:trPr>
          <w:cantSplit/>
        </w:trPr>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No sequential</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3.04</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4.1</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1781.8</w:t>
            </w:r>
          </w:p>
        </w:tc>
        <w:tc>
          <w:tcPr>
            <w:tcW w:type="dxa" w:w="10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31.2</w:t>
            </w:r>
          </w:p>
        </w:tc>
      </w:tr>
      <w:tr>
        <w:trPr>
          <w:cantSplit/>
        </w:trPr>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No direction wait</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2.05</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13.9</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287.3</w:t>
            </w:r>
          </w:p>
        </w:tc>
        <w:tc>
          <w:tcPr>
            <w:tcW w:type="dxa" w:w="10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21.0</w:t>
            </w:r>
          </w:p>
        </w:tc>
      </w:tr>
      <w:tr>
        <w:trPr>
          <w:cantSplit/>
        </w:trPr>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No fallback</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3.25</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21.4</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90.3</w:t>
            </w:r>
          </w:p>
        </w:tc>
        <w:tc>
          <w:tcPr>
            <w:tcW w:type="dxa" w:w="10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0.0</w:t>
            </w:r>
          </w:p>
        </w:tc>
      </w:tr>
      <w:tr>
        <w:trPr>
          <w:cantSplit/>
        </w:trPr>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Single motor DEDA</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3.02</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15.3</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286.8</w:t>
            </w:r>
          </w:p>
        </w:tc>
        <w:tc>
          <w:tcPr>
            <w:tcW w:type="dxa" w:w="100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14.1</w:t>
            </w:r>
          </w:p>
        </w:tc>
      </w:tr>
    </w:tbl>
    <w:p>
      <w:pPr>
        <w:spacing w:after="0" w:line="60" w:lineRule="exact"/>
      </w:pPr>
      <w:r>
        <w:rPr>
          <w:b w:val="0"/>
        </w:rPr>
      </w:r>
    </w:p>
    <w:p>
      <w:r>
        <w:rPr>
          <w:b w:val="0"/>
        </w:rPr>
        <w:t>Removing reliability increases wrong-direction events from 2.45% to 7.96%. Removing closure, norm or coherence acceptance also increases errors. However, the generator explicitly constructs failed checks, favoring such gates. No reliability also switches aggregation to unit weights; no coherence retains coherence weights; no sequential also removes the waiting opportunity. These are operational ablations, not perfect isolation of one arithmetic term.</w:t>
      </w:r>
    </w:p>
    <w:p>
      <w:r>
        <w:rPr>
          <w:b w:val="0"/>
        </w:rPr>
        <w:t>No-direction-wait DEDA gives 2.05% wrong-direction and 13.86% missed-or-late events, both below full DEDA, but general warnings rise to 21.0%. Full DEDA is therefore not uniformly beneficial. Removing sequential evidence lowers missed-or-late events to 4.1% but raises false alerts to 1781.8/h. Removing fallback increases missed-or-late events to 21.4% while lowering false alerts partly by refusing alerts.</w:t>
      </w:r>
    </w:p>
    <w:p>
      <w:r>
        <w:rPr>
          <w:b w:val="0"/>
        </w:rPr>
        <w:t>The single-motor DEDA audit gives 3.02% wrong-direction events versus 2.45% with the boundary pair. Misses, timing and angular estimates are unchanged. Allowing two motors explains part of the motor-set gain, but does not explain the entire difference from B. This supplementary diagnostic was added without retuning and is not included in the 16-contrast significance family.</w:t>
      </w:r>
    </w:p>
    <w:p>
      <w:r>
        <w:rPr>
          <w:b w:val="0"/>
        </w:rPr>
        <w:t>The strongest-bin component belongs to the acoustic front end and cannot be isolated by the decision-stream generator, which directly supplies directions. It is therefore evaluated on paired synthetic microphone signals in the next section. Likewise, DEDA no-direction-wait is evidence about this policy’s temporal choice; it does not show that waiting is harmful to every user or application. Choosing a preferred next variant from these results would require a fresh held-out test after selection.</w:t>
      </w:r>
    </w:p>
    <w:p>
      <w:pPr>
        <w:pStyle w:val="Heading1"/>
      </w:pPr>
      <w:r>
        <w:rPr>
          <w:b w:val="0"/>
        </w:rPr>
        <w:t>8 Acoustic Robustness and Incorrect Plausible Directions</w:t>
      </w:r>
    </w:p>
    <w:p>
      <w:pPr>
        <w:pStyle w:val="Caption"/>
        <w:keepNext/>
        <w:ind w:firstLine="0"/>
      </w:pPr>
      <w:r>
        <w:rPr>
          <w:b w:val="0"/>
        </w:rPr>
        <w:t>Table 8  Acoustic error, gate coverage and incorrect accepted estimates</w:t>
      </w:r>
    </w:p>
    <w:tbl>
      <w:tblPr>
        <w:tblW w:type="auto" w:w="0"/>
        <w:tblLayout w:type="fixed"/>
        <w:tblLook w:firstColumn="1" w:firstRow="1" w:lastColumn="0" w:lastRow="0" w:noHBand="0" w:noVBand="1" w:val="04A0"/>
      </w:tblPr>
      <w:tblGrid>
        <w:gridCol w:w="3168"/>
        <w:gridCol w:w="2016"/>
        <w:gridCol w:w="1728"/>
        <w:gridCol w:w="1440"/>
      </w:tblGrid>
      <w:tr>
        <w:trPr>
          <w:cantSplit/>
          <w:tblHeader/>
        </w:trPr>
        <w:tc>
          <w:tcPr>
            <w:tcW w:type="dxa" w:w="3168"/>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left"/>
            </w:pPr>
            <w:r>
              <w:rPr>
                <w:b/>
                <w:sz w:val="18"/>
              </w:rPr>
              <w:t>Condition</w:t>
            </w:r>
          </w:p>
        </w:tc>
        <w:tc>
          <w:tcPr>
            <w:tcW w:type="dxa" w:w="2016"/>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Wrong all/top %</w:t>
            </w:r>
          </w:p>
        </w:tc>
        <w:tc>
          <w:tcPr>
            <w:tcW w:type="dxa" w:w="1728"/>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Top gate coverage %</w:t>
            </w:r>
          </w:p>
        </w:tc>
        <w:tc>
          <w:tcPr>
            <w:tcW w:type="dxa" w:w="1440"/>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Wrong/valid top %</w:t>
            </w:r>
          </w:p>
        </w:tc>
      </w:tr>
      <w:tr>
        <w:trPr>
          <w:cantSplit/>
        </w:trPr>
        <w:tc>
          <w:tcPr>
            <w:tcW w:type="dxa" w:w="31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Clean</w:t>
            </w:r>
          </w:p>
        </w:tc>
        <w:tc>
          <w:tcPr>
            <w:tcW w:type="dxa" w:w="20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7.7/2.3</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74.0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0.0</w:t>
            </w:r>
          </w:p>
        </w:tc>
      </w:tr>
      <w:tr>
        <w:trPr>
          <w:cantSplit/>
        </w:trPr>
        <w:tc>
          <w:tcPr>
            <w:tcW w:type="dxa" w:w="31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Competing source</w:t>
            </w:r>
          </w:p>
        </w:tc>
        <w:tc>
          <w:tcPr>
            <w:tcW w:type="dxa" w:w="20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76.5/76.7</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71.5</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83.4</w:t>
            </w:r>
          </w:p>
        </w:tc>
      </w:tr>
      <w:tr>
        <w:trPr>
          <w:cantSplit/>
        </w:trPr>
        <w:tc>
          <w:tcPr>
            <w:tcW w:type="dxa" w:w="31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Reflection surrogate</w:t>
            </w:r>
          </w:p>
        </w:tc>
        <w:tc>
          <w:tcPr>
            <w:tcW w:type="dxa" w:w="20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34.7/16.0</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66.2</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1.5</w:t>
            </w:r>
          </w:p>
        </w:tc>
      </w:tr>
      <w:tr>
        <w:trPr>
          <w:cantSplit/>
        </w:trPr>
        <w:tc>
          <w:tcPr>
            <w:tcW w:type="dxa" w:w="31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Clock offset</w:t>
            </w:r>
          </w:p>
        </w:tc>
        <w:tc>
          <w:tcPr>
            <w:tcW w:type="dxa" w:w="20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72.0/76.3</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19.5</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100.0</w:t>
            </w:r>
          </w:p>
        </w:tc>
      </w:tr>
      <w:tr>
        <w:trPr>
          <w:cantSplit/>
        </w:trPr>
        <w:tc>
          <w:tcPr>
            <w:tcW w:type="dxa" w:w="31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Correlated microphone noise</w:t>
            </w:r>
          </w:p>
        </w:tc>
        <w:tc>
          <w:tcPr>
            <w:tcW w:type="dxa" w:w="20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16.5/2.8</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37.7</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0.0</w:t>
            </w:r>
          </w:p>
        </w:tc>
      </w:tr>
      <w:tr>
        <w:trPr>
          <w:cantSplit/>
        </w:trPr>
        <w:tc>
          <w:tcPr>
            <w:tcW w:type="dxa" w:w="31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Gain mismatch</w:t>
            </w:r>
          </w:p>
        </w:tc>
        <w:tc>
          <w:tcPr>
            <w:tcW w:type="dxa" w:w="20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19.5/11.0</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49.5</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0.0</w:t>
            </w:r>
          </w:p>
        </w:tc>
      </w:tr>
      <w:tr>
        <w:trPr>
          <w:cantSplit/>
        </w:trPr>
        <w:tc>
          <w:tcPr>
            <w:tcW w:type="dxa" w:w="316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Moving surrogate</w:t>
            </w:r>
          </w:p>
        </w:tc>
        <w:tc>
          <w:tcPr>
            <w:tcW w:type="dxa" w:w="20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10.2/1.3</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74.2</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0.0</w:t>
            </w:r>
          </w:p>
        </w:tc>
      </w:tr>
    </w:tbl>
    <w:p>
      <w:pPr>
        <w:spacing w:after="0" w:line="60" w:lineRule="exact"/>
      </w:pPr>
      <w:r>
        <w:rPr>
          <w:b w:val="0"/>
        </w:rPr>
      </w:r>
    </w:p>
    <w:p>
      <w:r>
        <w:rPr>
          <w:b w:val="0"/>
        </w:rPr>
        <w:t>In clean scenes, wrong-quadrant estimates decrease from 7.7% with all bins to 2.3% with strongest bins. The paired change is -5.3 points (95% cluster interval -8.5 to -2.3). This benefit is not universal: competing-source estimates are wrong in 76.7% of strongest-bin scenes. Among gate-valid competing-source estimates, 83.4% are wrong. All gate-valid clock-offset estimates are wrong in this constructed test. Passing a gate cannot certify the target direction.</w:t>
      </w:r>
    </w:p>
    <w:p>
      <w:pPr>
        <w:pStyle w:val="Caption"/>
        <w:keepNext/>
        <w:ind w:firstLine="0"/>
      </w:pPr>
      <w:r>
        <w:rPr>
          <w:b w:val="0"/>
        </w:rPr>
        <w:t>Table 9  Paired strongest-bin minus all-bin changes with 95 percent seed-cluster intervals</w:t>
      </w:r>
    </w:p>
    <w:tbl>
      <w:tblPr>
        <w:tblW w:type="auto" w:w="0"/>
        <w:tblLayout w:type="fixed"/>
        <w:tblLook w:firstColumn="1" w:firstRow="1" w:lastColumn="0" w:lastRow="0" w:noHBand="0" w:noVBand="1" w:val="04A0"/>
      </w:tblPr>
      <w:tblGrid>
        <w:gridCol w:w="2880"/>
        <w:gridCol w:w="2736"/>
        <w:gridCol w:w="2736"/>
      </w:tblGrid>
      <w:tr>
        <w:trPr>
          <w:cantSplit/>
          <w:tblHeader/>
        </w:trPr>
        <w:tc>
          <w:tcPr>
            <w:tcW w:type="dxa" w:w="2880"/>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left"/>
            </w:pPr>
            <w:r>
              <w:rPr>
                <w:b/>
                <w:sz w:val="18"/>
              </w:rPr>
              <w:t>Condition</w:t>
            </w:r>
          </w:p>
        </w:tc>
        <w:tc>
          <w:tcPr>
            <w:tcW w:type="dxa" w:w="2736"/>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Wrong-quadrant difference pp</w:t>
            </w:r>
          </w:p>
        </w:tc>
        <w:tc>
          <w:tcPr>
            <w:tcW w:type="dxa" w:w="2736"/>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Angular MAE difference degrees</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Clean</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-5.3 [-8.5, -2.3]</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-7.3 [-10.4, -4.6]</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Competing source</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+0.2 [-4.3, +5.0]</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-1.6 [-7.2, +4.5]</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Reflection surrogate</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-18.7 [-23.2, -14.3]</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-20.5 [-25.3, -16.0]</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Clock offset</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+4.3 [-1.2, +9.7]</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+1.9 [-3.6, +7.3]</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Correlated microphone noise</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-13.7 [-18.3, -9.2]</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-13.1 [-17.1, -9.4]</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Gain mismatch</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-8.5 [-12.8, -4.2]</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-8.1 [-12.6, -3.6]</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Moving surrogate</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-8.8 [-12.2, -5.7]</w:t>
            </w:r>
          </w:p>
        </w:tc>
        <w:tc>
          <w:tcPr>
            <w:tcW w:type="dxa" w:w="273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-8.6 [-11.2, -6.1]</w:t>
            </w:r>
          </w:p>
        </w:tc>
      </w:tr>
    </w:tbl>
    <w:p>
      <w:pPr>
        <w:spacing w:after="0" w:line="60" w:lineRule="exact"/>
      </w:pPr>
      <w:r>
        <w:rPr>
          <w:b w:val="0"/>
        </w:rPr>
      </w:r>
    </w:p>
    <w:p>
      <w:r>
        <w:rPr>
          <w:b w:val="0"/>
        </w:rPr>
        <w:t>Each acoustic condition contains 600 scenes per bin choice. A wrong-quadrant estimate concerns the target source even if the estimate follows the competing source; the task has not been changed to accepting any source. Gate coverage and errors conditional on passing are both reported. In particular, high coverage during interference can increase confident-looking mistakes. The shared-noise construction models inter-channel correlation, whereas class-score correlation belongs only to the decision generator. Neither is a measured error distribution.</w:t>
      </w:r>
    </w:p>
    <w:p>
      <w:r>
        <w:rPr>
          <w:b w:val="0"/>
        </w:rPr>
        <w:t>With zero explicitly flagged bad observations, DEDA wrong-direction events are 6.6%; with all bad observations flagged they are 0.08%. The coherent 180° stress gives 99.7% wrong-direction events despite closure zero, norm one and coherence 0.9. Short bursts give 63.3% missed-or-late events. These are deliberate counterexamples, not estimates of real reflection or burst frequencies. Correlated class-score noise and correlated microphone noise are distinct experiments.</w:t>
      </w:r>
    </w:p>
    <w:p>
      <w:pPr>
        <w:pStyle w:val="Caption"/>
        <w:keepNext/>
        <w:ind w:firstLine="0"/>
      </w:pPr>
      <w:r>
        <w:rPr>
          <w:b w:val="0"/>
        </w:rPr>
        <w:t>Table 10  DEDA stress results on 30 streams per condition</w:t>
      </w:r>
    </w:p>
    <w:tbl>
      <w:tblPr>
        <w:tblW w:type="auto" w:w="0"/>
        <w:tblLayout w:type="fixed"/>
        <w:tblLook w:firstColumn="1" w:firstRow="1" w:lastColumn="0" w:lastRow="0" w:noHBand="0" w:noVBand="1" w:val="04A0"/>
      </w:tblPr>
      <w:tblGrid>
        <w:gridCol w:w="4032"/>
        <w:gridCol w:w="1440"/>
        <w:gridCol w:w="1440"/>
        <w:gridCol w:w="1440"/>
      </w:tblGrid>
      <w:tr>
        <w:trPr>
          <w:cantSplit/>
          <w:tblHeader/>
        </w:trPr>
        <w:tc>
          <w:tcPr>
            <w:tcW w:type="dxa" w:w="4032"/>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left"/>
            </w:pPr>
            <w:r>
              <w:rPr>
                <w:b/>
                <w:sz w:val="18"/>
              </w:rPr>
              <w:t>Condition</w:t>
            </w:r>
          </w:p>
        </w:tc>
        <w:tc>
          <w:tcPr>
            <w:tcW w:type="dxa" w:w="1440"/>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Wrong %</w:t>
            </w:r>
          </w:p>
        </w:tc>
        <w:tc>
          <w:tcPr>
            <w:tcW w:type="dxa" w:w="1440"/>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Miss/late %</w:t>
            </w:r>
          </w:p>
        </w:tc>
        <w:tc>
          <w:tcPr>
            <w:tcW w:type="dxa" w:w="1440"/>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False / h</w:t>
            </w:r>
          </w:p>
        </w:tc>
      </w:tr>
      <w:tr>
        <w:trPr>
          <w:cantSplit/>
        </w:trPr>
        <w:tc>
          <w:tcPr>
            <w:tcW w:type="dxa" w:w="40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Check sensitivity 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6.64</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16.7</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288.0</w:t>
            </w:r>
          </w:p>
        </w:tc>
      </w:tr>
      <w:tr>
        <w:trPr>
          <w:cantSplit/>
        </w:trPr>
        <w:tc>
          <w:tcPr>
            <w:tcW w:type="dxa" w:w="40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Check sensitivity 35%</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4.29</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14.6</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288.0</w:t>
            </w:r>
          </w:p>
        </w:tc>
      </w:tr>
      <w:tr>
        <w:trPr>
          <w:cantSplit/>
        </w:trPr>
        <w:tc>
          <w:tcPr>
            <w:tcW w:type="dxa" w:w="40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Check sensitivity 100%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0.08</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14.5</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294.4</w:t>
            </w:r>
          </w:p>
        </w:tc>
      </w:tr>
      <w:tr>
        <w:trPr>
          <w:cantSplit/>
        </w:trPr>
        <w:tc>
          <w:tcPr>
            <w:tcW w:type="dxa" w:w="40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Short bursts</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1.94</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63.3</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287.3</w:t>
            </w:r>
          </w:p>
        </w:tc>
      </w:tr>
      <w:tr>
        <w:trPr>
          <w:cantSplit/>
        </w:trPr>
        <w:tc>
          <w:tcPr>
            <w:tcW w:type="dxa" w:w="40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Correlated class scores</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2.28</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17.3</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389.7</w:t>
            </w:r>
          </w:p>
        </w:tc>
      </w:tr>
      <w:tr>
        <w:trPr>
          <w:cantSplit/>
        </w:trPr>
        <w:tc>
          <w:tcPr>
            <w:tcW w:type="dxa" w:w="40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Coherent 180 degree error</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99.65</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12.4</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287.6</w:t>
            </w:r>
          </w:p>
        </w:tc>
      </w:tr>
      <w:tr>
        <w:trPr>
          <w:cantSplit/>
        </w:trPr>
        <w:tc>
          <w:tcPr>
            <w:tcW w:type="dxa" w:w="40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Direction dropout 20%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2.58</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15.6</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294.5</w:t>
            </w:r>
          </w:p>
        </w:tc>
      </w:tr>
    </w:tbl>
    <w:p>
      <w:pPr>
        <w:spacing w:after="0" w:line="60" w:lineRule="exact"/>
      </w:pPr>
      <w:r>
        <w:rPr>
          <w:b w:val="0"/>
        </w:rPr>
      </w:r>
    </w:p>
    <w:p>
      <w:pPr>
        <w:pStyle w:val="Heading1"/>
      </w:pPr>
      <w:r>
        <w:rPr>
          <w:b w:val="0"/>
        </w:rPr>
        <w:t>9 Deadline Choice and Late Warning Analysis</w:t>
      </w:r>
    </w:p>
    <w:p>
      <w:r>
        <w:rPr>
          <w:b w:val="0"/>
        </w:rPr>
        <w:t>DEDA’s mean stream p95 simulated latency is 413.1 [395.7, 430.9] ms, exceeding the 300 ms reference. In the event-level records, 542 first alerts are late; 314 have final-episode opening timestamps already beyond 300 ms and 435 have at least one within-episode evidence hop. The categories overlap and do not uniquely identify causes. Delayed score opening, rejection/reopening, suppression and evidence waiting can contribute. The no-wait ablation is a paired counterfactual, not proof of a measured physical speedup.</w:t>
      </w:r>
    </w:p>
    <w:p>
      <w:r>
        <w:rPr>
          <w:b w:val="0"/>
        </w:rPr>
        <w:t>The separate 30-stream deadline analysis keeps other thresholds fixed. D = 150 ms forces K = 0 and increases false alerts sharply; D = 500 ms reduces lateness against its own target but increases lateness against a fixed 300 ms requirement. This tests sensitivity and does not justify 300 ms as a human requirement. Neither statistical significance nor an episode horizon establishes worst-case execution time or physical sound-onset-to-vibration latency.</w:t>
      </w:r>
    </w:p>
    <w:p>
      <w:pPr>
        <w:pStyle w:val="Caption"/>
        <w:keepNext/>
        <w:ind w:firstLine="0"/>
      </w:pPr>
      <w:r>
        <w:rPr>
          <w:b w:val="0"/>
        </w:rPr>
        <w:t>Table 11  Separate deadline sensitivity set with unchanged class thresholds</w:t>
      </w:r>
    </w:p>
    <w:tbl>
      <w:tblPr>
        <w:tblW w:type="auto" w:w="0"/>
        <w:tblLayout w:type="fixed"/>
        <w:tblLook w:firstColumn="1" w:firstRow="1" w:lastColumn="0" w:lastRow="0" w:noHBand="0" w:noVBand="1" w:val="04A0"/>
      </w:tblPr>
      <w:tblGrid>
        <w:gridCol w:w="1440"/>
        <w:gridCol w:w="1440"/>
        <w:gridCol w:w="2016"/>
        <w:gridCol w:w="2016"/>
        <w:gridCol w:w="1440"/>
      </w:tblGrid>
      <w:tr>
        <w:trPr>
          <w:cantSplit/>
          <w:tblHeader/>
        </w:trPr>
        <w:tc>
          <w:tcPr>
            <w:tcW w:type="dxa" w:w="1440"/>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left"/>
            </w:pPr>
            <w:r>
              <w:rPr>
                <w:b/>
                <w:sz w:val="18"/>
              </w:rPr>
              <w:t>Target ms and K</w:t>
            </w:r>
          </w:p>
        </w:tc>
        <w:tc>
          <w:tcPr>
            <w:tcW w:type="dxa" w:w="1440"/>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Wrong %</w:t>
            </w:r>
          </w:p>
        </w:tc>
        <w:tc>
          <w:tcPr>
            <w:tcW w:type="dxa" w:w="2016"/>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Miss/late at target %</w:t>
            </w:r>
          </w:p>
        </w:tc>
        <w:tc>
          <w:tcPr>
            <w:tcW w:type="dxa" w:w="2016"/>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Miss/late at 300 ms %</w:t>
            </w:r>
          </w:p>
        </w:tc>
        <w:tc>
          <w:tcPr>
            <w:tcW w:type="dxa" w:w="1440"/>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center"/>
            </w:pPr>
            <w:r>
              <w:rPr>
                <w:b/>
                <w:sz w:val="18"/>
              </w:rPr>
              <w:t>False / h</w:t>
            </w:r>
          </w:p>
        </w:tc>
      </w:tr>
      <w:tr>
        <w:trPr>
          <w:cantSplit/>
        </w:trPr>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150; K=0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2.92</w:t>
            </w:r>
          </w:p>
        </w:tc>
        <w:tc>
          <w:tcPr>
            <w:tcW w:type="dxa" w:w="20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36.5</w:t>
            </w:r>
          </w:p>
        </w:tc>
        <w:tc>
          <w:tcPr>
            <w:tcW w:type="dxa" w:w="20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4.0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1764.7</w:t>
            </w:r>
          </w:p>
        </w:tc>
      </w:tr>
      <w:tr>
        <w:trPr>
          <w:cantSplit/>
        </w:trPr>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300; K=2</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1.82</w:t>
            </w:r>
          </w:p>
        </w:tc>
        <w:tc>
          <w:tcPr>
            <w:tcW w:type="dxa" w:w="20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14.8</w:t>
            </w:r>
          </w:p>
        </w:tc>
        <w:tc>
          <w:tcPr>
            <w:tcW w:type="dxa" w:w="20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14.8</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center"/>
            </w:pPr>
            <w:r>
              <w:rPr>
                <w:b w:val="0"/>
                <w:sz w:val="18"/>
              </w:rPr>
              <w:t>284.6</w:t>
            </w:r>
          </w:p>
        </w:tc>
      </w:tr>
      <w:tr>
        <w:trPr>
          <w:cantSplit/>
        </w:trPr>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500; K=5</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1.53</w:t>
            </w:r>
          </w:p>
        </w:tc>
        <w:tc>
          <w:tcPr>
            <w:tcW w:type="dxa" w:w="20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6.0</w:t>
            </w:r>
          </w:p>
        </w:tc>
        <w:tc>
          <w:tcPr>
            <w:tcW w:type="dxa" w:w="2016"/>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24.3</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center"/>
            </w:pPr>
            <w:r>
              <w:rPr>
                <w:b w:val="0"/>
                <w:sz w:val="18"/>
              </w:rPr>
              <w:t>156.5</w:t>
            </w:r>
          </w:p>
        </w:tc>
      </w:tr>
    </w:tbl>
    <w:p>
      <w:pPr>
        <w:spacing w:after="0" w:line="60" w:lineRule="exact"/>
      </w:pPr>
      <w:r>
        <w:rPr>
          <w:b w:val="0"/>
        </w:rPr>
      </w:r>
    </w:p>
    <w:p>
      <w:r>
        <w:rPr>
          <w:b w:val="0"/>
        </w:rPr>
        <w:t>These outcomes do not support saying that the reliability mechanism never hinders timeliness. The DEDA-minus-no-wait missed-or-late difference is +1.46 [+1.06, +1.87] percentage points. Its paired confidence interval is above zero. A shorter target or simpler policy can improve one latency measure while increasing confuser alerts or reducing spatial specificity. Increasing on-time rate alone is not a sufficient optimization objective.</w:t>
      </w:r>
    </w:p>
    <w:p>
      <w:pPr>
        <w:pStyle w:val="Heading1"/>
        <w:pageBreakBefore w:val="0"/>
      </w:pPr>
      <w:r>
        <w:t>10 Interactive Simulation Demonstrations</w:t>
      </w:r>
    </w:p>
    <w:p>
      <w:pPr>
        <w:pStyle w:val="Heading2"/>
      </w:pPr>
      <w:r>
        <w:t>10.1 Relationship to the numerical study</w:t>
      </w:r>
    </w:p>
    <w:p>
      <w:pPr/>
      <w:r>
        <w:t>The browser and Wokwi demonstrations make individual decisions inspectable during the final review. They are supplementary teaching interfaces, not additional benchmark recordings, independent field trials or participant evaluations. The statistical tables in Sections 6–9 retain the expanded study estimates; adding playback and controls does not change those results. Both interfaces keep sound-class acceptance separate from directional acceptance, and expose directional commands, waiting and general fallback warnings.</w:t>
      </w:r>
    </w:p>
    <w:p>
      <w:pPr/>
      <w:r>
        <w:t>The browser uses python/simulator_server.py to serve a local page and execute the existing Python signal and policy modules. A scene synthesizes three 16 kHz microphone channels on the virtual 35 mm triangle. GCC-PHAT and geometric checks compute direction evidence; the sound-class scores are deliberately scripted. Noise, competing-source, reflection-surrogate, channel-timing and direction-dropout controls modify the simulation. A convincing audible example does not constitute a trained recognizer.</w:t>
      </w:r>
    </w:p>
    <w:p>
      <w:pPr>
        <w:pStyle w:val="Heading2"/>
      </w:pPr>
      <w:r>
        <w:t>10.2 Audible browser replay and explanation</w:t>
      </w:r>
    </w:p>
    <w:p>
      <w:pPr/>
      <w:r>
        <w:t>The browser plays the same synthetic microphone-1 samples supplied to the direction estimator. The server encodes a mono 16 kHz signed 16-bit PCM stream, with one clip-wide peak normalization to 85% before the browser volume control. This preserves relative event and noise amplitudes within a clip but does not calibrate sound pressure or loudness between clips. The audio includes the chosen acoustic condition. It is neither a real recording nor a spatial-hearing demonstration; the shout example is speech-like noise.</w:t>
      </w:r>
    </w:p>
    <w:p>
      <w:pPr/>
      <w:r>
        <w:t>Hear and watch or Listen and replay enables audible replay from model time zero. Run scene recomputes the chosen settings and immediately replays the result while respecting the current mute setting. Controls include pause, seek, volume and 0.25×, 0.5×, 1× and 2× speeds. Speed changes also change audio pitch; 1× is used for normal listening. The audio clock drives replay while sound is enabled. Hiding the page, seeking or switching scenes stops the active audio source. A local Python server is required; no public hosting is asserted.</w:t>
      </w:r>
    </w:p>
    <w:p>
      <w:pPr/>
      <w:r>
        <w:t>Presentation mode focuses on the virtual wearer, a plain-language account of the current decision, and the side-by-side Baseline B and DEDA commands. Key-moment controls jump to source onset and actual computed first-alert timestamps; warning jumps are disabled when a policy emits no alert. The full lab shows four accumulated class-evidence scores, waveforms, consistency checks and window traces. Scores are post-step empirical evidence, not percentages; they may reset in the same step that emits an alert. Bars clip to −8 to +8 for readability while numeric labels retain the score. Sound ripples indicate source activity, and motor highlights show policy commands rather than measured vibration.</w:t>
      </w:r>
    </w:p>
    <w:p>
      <w:pPr>
        <w:keepNext/>
        <w:jc w:val="center"/>
      </w:pPr>
      <w:r/>
      <w:r>
        <w:drawing>
          <wp:inline xmlns:a="http://schemas.openxmlformats.org/drawingml/2006/main" xmlns:pic="http://schemas.openxmlformats.org/drawingml/2006/picture">
            <wp:extent cx="5577840" cy="3139464"/>
            <wp:docPr id="2" name="Picture 2"/>
            <wp:cNvGraphicFramePr>
              <a:graphicFrameLocks noChangeAspect="1"/>
            </wp:cNvGraphicFramePr>
            <a:graphic>
              <a:graphicData uri="http://schemas.openxmlformats.org/drawingml/2006/picture">
                <pic:pic>
                  <pic:nvPicPr>
                    <pic:cNvPr id="0" name="SoundScape-Presentation-Mode.jpg"/>
                    <pic:cNvPicPr/>
                  </pic:nvPicPr>
                  <pic:blipFill>
                    <a:blip r:embed="rId11"/>
                    <a:stretch>
                      <a:fillRect/>
                    </a:stretch>
                  </pic:blipFill>
                  <pic:spPr>
                    <a:xfrm>
                      <a:off x="0" y="0"/>
                      <a:ext cx="5577840" cy="3139464"/>
                    </a:xfrm>
                    <a:prstGeom prst="rect"/>
                  </pic:spPr>
                </pic:pic>
              </a:graphicData>
            </a:graphic>
          </wp:inline>
        </w:drawing>
      </w:r>
    </w:p>
    <w:p>
      <w:pPr>
        <w:pStyle w:val="Caption"/>
        <w:ind w:firstLine="0"/>
        <w:jc w:val="left"/>
      </w:pPr>
      <w:r>
        <w:rPr>
          <w:b w:val="0"/>
          <w:sz w:val="18"/>
        </w:rPr>
        <w:t>Fig. 2. Browser presentation view at the default horn scene’s first DEDA warning. Baseline B commands Back at 64 model ms after onset; DEDA commands Back at 128 model ms. The screen shows computed decisions, not a physical device measurement.</w:t>
      </w:r>
    </w:p>
    <w:p>
      <w:pPr>
        <w:pStyle w:val="Heading2"/>
      </w:pPr>
      <w:r>
        <w:t>10.3 Wokwi virtual ESP32 policy replay</w:t>
      </w:r>
    </w:p>
    <w:p>
      <w:pPr/>
      <w:r>
        <w:t>The Wokwi kit passes prepared per-window probabilities and direction observations through byte-identical copies of c/deda.c and c/deda.h. Scenario selection does not hard-code the LED result. A virtual ESP32 drives four LEDs, an SSD1306 OLED and five debounced scenario buttons. The display names the selected input case, then shows the actual policy state and resulting command. A scenario label is a known input label, not a classifier prediction.</w:t>
      </w:r>
    </w:p>
    <w:p>
      <w:pPr/>
      <w:r>
        <w:t>LED bitmasks are Front = 1, Right = 2, Back = 4 and Left = 8; a general warning uses 15. LED GPIOs are 18, 19, 21 and 4 respectively. OLED SDA/SCL use 23/22, and buttons use GPIO13, 14, 25, 26 and 27 with internal pull-ups. Wokwi DevKit V1 diagram endpoints use D-prefixed names. Directional outputs repeat one 260 ms light pulse per 1.2 s; general warnings repeat two 140 ms pulses. These are illustrative presentation patterns, not user-validated haptic encodings or repeated DEDA detections. Model steps are 64 ms, displayed every 650 ms for inspection; displayed model delay is not wall-clock execution time.</w:t>
      </w:r>
    </w:p>
    <w:p>
      <w:pPr/>
      <w:r>
        <w:t>The upgraded Arduino sketch compiled using ESP32 core 3.3.7, Adafruit SSD1306 2.5.17, GFX 1.13.0 and BusIO 1.17.4. The compiler reported 343,612 bytes of program storage and 24,052 bytes of global variables. These values apply only to the prepared-input replay and display application, excluding a complete audio acquisition and recognition pipeline. Host replay of all five cases matched the Python alert count, timestamp, class, kind and motor mask. Browser tests checked playback controls and the fallback walkthrough; 18 Python simulation/service checks and three JavaScript checks passed. These checks are software verification, not physical deployment validation.</w:t>
      </w:r>
    </w:p>
    <w:p>
      <w:pPr>
        <w:pStyle w:val="Caption"/>
        <w:keepNext/>
        <w:ind w:firstLine="0"/>
        <w:jc w:val="left"/>
      </w:pPr>
      <w:r>
        <w:rPr>
          <w:b w:val="0"/>
          <w:sz w:val="18"/>
        </w:rPr>
        <w:t>Table 12  Reproducible teaching cases at the demonstration operating point</w:t>
      </w:r>
    </w:p>
    <w:tbl>
      <w:tblPr>
        <w:tblW w:type="auto" w:w="0"/>
        <w:tblLayout w:type="fixed"/>
        <w:tblLook w:firstColumn="1" w:firstRow="1" w:lastColumn="0" w:lastRow="0" w:noHBand="0" w:noVBand="1" w:val="04A0"/>
      </w:tblPr>
      <w:tblGrid>
        <w:gridCol w:w="3240"/>
        <w:gridCol w:w="2592"/>
        <w:gridCol w:w="2520"/>
      </w:tblGrid>
      <w:tr>
        <w:trPr>
          <w:cantSplit/>
          <w:tblHeader/>
        </w:trPr>
        <w:tc>
          <w:tcPr>
            <w:tcW w:type="dxa" w:w="3240"/>
            <w:tcBorders>
              <w:top w:val="single" w:sz="4" w:color="D9D9D9"/>
              <w:left w:val="single" w:sz="4" w:color="D9D9D9"/>
              <w:bottom w:val="single" w:sz="4" w:color="D9D9D9"/>
              <w:right w:val="single" w:sz="4" w:color="D9D9D9"/>
            </w:tcBorders>
            <w:shd w:fill="EDEDED"/>
          </w:tcPr>
          <w:p>
            <w:pPr>
              <w:spacing w:after="60" w:line="240" w:lineRule="auto"/>
              <w:ind w:firstLine="0"/>
              <w:jc w:val="left"/>
            </w:pPr>
            <w:r>
              <w:rPr>
                <w:b/>
                <w:sz w:val="18"/>
              </w:rPr>
              <w:t>Case</w:t>
            </w:r>
          </w:p>
        </w:tc>
        <w:tc>
          <w:tcPr>
            <w:tcW w:type="dxa" w:w="2592"/>
            <w:tcBorders>
              <w:top w:val="single" w:sz="4" w:color="D9D9D9"/>
              <w:left w:val="single" w:sz="4" w:color="D9D9D9"/>
              <w:bottom w:val="single" w:sz="4" w:color="D9D9D9"/>
              <w:right w:val="single" w:sz="4" w:color="D9D9D9"/>
            </w:tcBorders>
            <w:shd w:fill="EDEDED"/>
          </w:tcPr>
          <w:p>
            <w:pPr>
              <w:spacing w:after="60" w:line="240" w:lineRule="auto"/>
              <w:ind w:firstLine="0"/>
              <w:jc w:val="left"/>
            </w:pPr>
            <w:r>
              <w:rPr>
                <w:b/>
                <w:sz w:val="18"/>
              </w:rPr>
              <w:t>DEDA command</w:t>
            </w:r>
          </w:p>
        </w:tc>
        <w:tc>
          <w:tcPr>
            <w:tcW w:type="dxa" w:w="2520"/>
            <w:tcBorders>
              <w:top w:val="single" w:sz="4" w:color="D9D9D9"/>
              <w:left w:val="single" w:sz="4" w:color="D9D9D9"/>
              <w:bottom w:val="single" w:sz="4" w:color="D9D9D9"/>
              <w:right w:val="single" w:sz="4" w:color="D9D9D9"/>
            </w:tcBorders>
            <w:shd w:fill="EDEDED"/>
          </w:tcPr>
          <w:p>
            <w:pPr>
              <w:spacing w:after="60" w:line="240" w:lineRule="auto"/>
              <w:ind w:firstLine="0"/>
              <w:jc w:val="left"/>
            </w:pPr>
            <w:r>
              <w:rPr>
                <w:b/>
                <w:sz w:val="18"/>
              </w:rPr>
              <w:t>Model delay from source onset</w:t>
            </w:r>
          </w:p>
        </w:tc>
      </w:tr>
      <w:tr>
        <w:trPr>
          <w:cantSplit/>
        </w:trPr>
        <w:tc>
          <w:tcPr>
            <w:tcW w:type="dxa" w:w="3240"/>
            <w:tcBorders>
              <w:top w:val="single" w:sz="4" w:color="D9D9D9"/>
              <w:left w:val="single" w:sz="4" w:color="D9D9D9"/>
              <w:bottom w:val="single" w:sz="4" w:color="D9D9D9"/>
              <w:right w:val="single" w:sz="4" w:color="D9D9D9"/>
            </w:tcBorders>
          </w:tcPr>
          <w:p>
            <w:pPr>
              <w:spacing w:after="60" w:line="240" w:lineRule="auto"/>
              <w:ind w:firstLine="0"/>
              <w:jc w:val="left"/>
            </w:pPr>
            <w:r>
              <w:rPr>
                <w:b w:val="0"/>
                <w:sz w:val="18"/>
              </w:rPr>
              <w:t>Horn behind</w:t>
            </w:r>
          </w:p>
        </w:tc>
        <w:tc>
          <w:tcPr>
            <w:tcW w:type="dxa" w:w="2592"/>
            <w:tcBorders>
              <w:top w:val="single" w:sz="4" w:color="D9D9D9"/>
              <w:left w:val="single" w:sz="4" w:color="D9D9D9"/>
              <w:bottom w:val="single" w:sz="4" w:color="D9D9D9"/>
              <w:right w:val="single" w:sz="4" w:color="D9D9D9"/>
            </w:tcBorders>
          </w:tcPr>
          <w:p>
            <w:pPr>
              <w:spacing w:after="60" w:line="240" w:lineRule="auto"/>
              <w:ind w:firstLine="0"/>
              <w:jc w:val="left"/>
            </w:pPr>
            <w:r>
              <w:rPr>
                <w:b w:val="0"/>
                <w:sz w:val="18"/>
              </w:rPr>
              <w:t>Back mask 4</w:t>
            </w:r>
          </w:p>
        </w:tc>
        <w:tc>
          <w:tcPr>
            <w:tcW w:type="dxa" w:w="2520"/>
            <w:tcBorders>
              <w:top w:val="single" w:sz="4" w:color="D9D9D9"/>
              <w:left w:val="single" w:sz="4" w:color="D9D9D9"/>
              <w:bottom w:val="single" w:sz="4" w:color="D9D9D9"/>
              <w:right w:val="single" w:sz="4" w:color="D9D9D9"/>
            </w:tcBorders>
          </w:tcPr>
          <w:p>
            <w:pPr>
              <w:spacing w:after="60" w:line="240" w:lineRule="auto"/>
              <w:ind w:firstLine="0"/>
              <w:jc w:val="left"/>
            </w:pPr>
            <w:r>
              <w:rPr>
                <w:b w:val="0"/>
                <w:sz w:val="18"/>
              </w:rPr>
              <w:t>128 ms</w:t>
            </w:r>
          </w:p>
        </w:tc>
      </w:tr>
      <w:tr>
        <w:trPr>
          <w:cantSplit/>
        </w:trPr>
        <w:tc>
          <w:tcPr>
            <w:tcW w:type="dxa" w:w="3240"/>
            <w:tcBorders>
              <w:top w:val="single" w:sz="4" w:color="D9D9D9"/>
              <w:left w:val="single" w:sz="4" w:color="D9D9D9"/>
              <w:bottom w:val="single" w:sz="4" w:color="D9D9D9"/>
              <w:right w:val="single" w:sz="4" w:color="D9D9D9"/>
            </w:tcBorders>
          </w:tcPr>
          <w:p>
            <w:pPr>
              <w:spacing w:after="60" w:line="240" w:lineRule="auto"/>
              <w:ind w:firstLine="0"/>
              <w:jc w:val="left"/>
            </w:pPr>
            <w:r>
              <w:rPr>
                <w:b w:val="0"/>
                <w:sz w:val="18"/>
              </w:rPr>
              <w:t>Siren left</w:t>
            </w:r>
          </w:p>
        </w:tc>
        <w:tc>
          <w:tcPr>
            <w:tcW w:type="dxa" w:w="2592"/>
            <w:tcBorders>
              <w:top w:val="single" w:sz="4" w:color="D9D9D9"/>
              <w:left w:val="single" w:sz="4" w:color="D9D9D9"/>
              <w:bottom w:val="single" w:sz="4" w:color="D9D9D9"/>
              <w:right w:val="single" w:sz="4" w:color="D9D9D9"/>
            </w:tcBorders>
          </w:tcPr>
          <w:p>
            <w:pPr>
              <w:spacing w:after="60" w:line="240" w:lineRule="auto"/>
              <w:ind w:firstLine="0"/>
              <w:jc w:val="left"/>
            </w:pPr>
            <w:r>
              <w:rPr>
                <w:b w:val="0"/>
                <w:sz w:val="18"/>
              </w:rPr>
              <w:t>Left mask 8</w:t>
            </w:r>
          </w:p>
        </w:tc>
        <w:tc>
          <w:tcPr>
            <w:tcW w:type="dxa" w:w="2520"/>
            <w:tcBorders>
              <w:top w:val="single" w:sz="4" w:color="D9D9D9"/>
              <w:left w:val="single" w:sz="4" w:color="D9D9D9"/>
              <w:bottom w:val="single" w:sz="4" w:color="D9D9D9"/>
              <w:right w:val="single" w:sz="4" w:color="D9D9D9"/>
            </w:tcBorders>
          </w:tcPr>
          <w:p>
            <w:pPr>
              <w:spacing w:after="60" w:line="240" w:lineRule="auto"/>
              <w:ind w:firstLine="0"/>
              <w:jc w:val="left"/>
            </w:pPr>
            <w:r>
              <w:rPr>
                <w:b w:val="0"/>
                <w:sz w:val="18"/>
              </w:rPr>
              <w:t>64 ms</w:t>
            </w:r>
          </w:p>
        </w:tc>
      </w:tr>
      <w:tr>
        <w:trPr>
          <w:cantSplit/>
        </w:trPr>
        <w:tc>
          <w:tcPr>
            <w:tcW w:type="dxa" w:w="3240"/>
            <w:tcBorders>
              <w:top w:val="single" w:sz="4" w:color="D9D9D9"/>
              <w:left w:val="single" w:sz="4" w:color="D9D9D9"/>
              <w:bottom w:val="single" w:sz="4" w:color="D9D9D9"/>
              <w:right w:val="single" w:sz="4" w:color="D9D9D9"/>
            </w:tcBorders>
          </w:tcPr>
          <w:p>
            <w:pPr>
              <w:spacing w:after="60" w:line="240" w:lineRule="auto"/>
              <w:ind w:firstLine="0"/>
              <w:jc w:val="left"/>
            </w:pPr>
            <w:r>
              <w:rPr>
                <w:b w:val="0"/>
                <w:sz w:val="18"/>
              </w:rPr>
              <w:t>Direction observations removed</w:t>
            </w:r>
          </w:p>
        </w:tc>
        <w:tc>
          <w:tcPr>
            <w:tcW w:type="dxa" w:w="2592"/>
            <w:tcBorders>
              <w:top w:val="single" w:sz="4" w:color="D9D9D9"/>
              <w:left w:val="single" w:sz="4" w:color="D9D9D9"/>
              <w:bottom w:val="single" w:sz="4" w:color="D9D9D9"/>
              <w:right w:val="single" w:sz="4" w:color="D9D9D9"/>
            </w:tcBorders>
          </w:tcPr>
          <w:p>
            <w:pPr>
              <w:spacing w:after="60" w:line="240" w:lineRule="auto"/>
              <w:ind w:firstLine="0"/>
              <w:jc w:val="left"/>
            </w:pPr>
            <w:r>
              <w:rPr>
                <w:b w:val="0"/>
                <w:sz w:val="18"/>
              </w:rPr>
              <w:t>General warning mask 15</w:t>
            </w:r>
          </w:p>
        </w:tc>
        <w:tc>
          <w:tcPr>
            <w:tcW w:type="dxa" w:w="2520"/>
            <w:tcBorders>
              <w:top w:val="single" w:sz="4" w:color="D9D9D9"/>
              <w:left w:val="single" w:sz="4" w:color="D9D9D9"/>
              <w:bottom w:val="single" w:sz="4" w:color="D9D9D9"/>
              <w:right w:val="single" w:sz="4" w:color="D9D9D9"/>
            </w:tcBorders>
          </w:tcPr>
          <w:p>
            <w:pPr>
              <w:spacing w:after="60" w:line="240" w:lineRule="auto"/>
              <w:ind w:firstLine="0"/>
              <w:jc w:val="left"/>
            </w:pPr>
            <w:r>
              <w:rPr>
                <w:b w:val="0"/>
                <w:sz w:val="18"/>
              </w:rPr>
              <w:t>192 ms</w:t>
            </w:r>
          </w:p>
        </w:tc>
      </w:tr>
      <w:tr>
        <w:trPr>
          <w:cantSplit/>
        </w:trPr>
        <w:tc>
          <w:tcPr>
            <w:tcW w:type="dxa" w:w="3240"/>
            <w:tcBorders>
              <w:top w:val="single" w:sz="4" w:color="D9D9D9"/>
              <w:left w:val="single" w:sz="4" w:color="D9D9D9"/>
              <w:bottom w:val="single" w:sz="4" w:color="D9D9D9"/>
              <w:right w:val="single" w:sz="4" w:color="D9D9D9"/>
            </w:tcBorders>
          </w:tcPr>
          <w:p>
            <w:pPr>
              <w:spacing w:after="60" w:line="240" w:lineRule="auto"/>
              <w:ind w:firstLine="0"/>
              <w:jc w:val="left"/>
            </w:pPr>
            <w:r>
              <w:rPr>
                <w:b w:val="0"/>
                <w:sz w:val="18"/>
              </w:rPr>
              <w:t>Critical-class confidence 0.30</w:t>
            </w:r>
          </w:p>
        </w:tc>
        <w:tc>
          <w:tcPr>
            <w:tcW w:type="dxa" w:w="2592"/>
            <w:tcBorders>
              <w:top w:val="single" w:sz="4" w:color="D9D9D9"/>
              <w:left w:val="single" w:sz="4" w:color="D9D9D9"/>
              <w:bottom w:val="single" w:sz="4" w:color="D9D9D9"/>
              <w:right w:val="single" w:sz="4" w:color="D9D9D9"/>
            </w:tcBorders>
          </w:tcPr>
          <w:p>
            <w:pPr>
              <w:spacing w:after="60" w:line="240" w:lineRule="auto"/>
              <w:ind w:firstLine="0"/>
              <w:jc w:val="left"/>
            </w:pPr>
            <w:r>
              <w:rPr>
                <w:b w:val="0"/>
                <w:sz w:val="18"/>
              </w:rPr>
              <w:t>No alert</w:t>
            </w:r>
          </w:p>
        </w:tc>
        <w:tc>
          <w:tcPr>
            <w:tcW w:type="dxa" w:w="2520"/>
            <w:tcBorders>
              <w:top w:val="single" w:sz="4" w:color="D9D9D9"/>
              <w:left w:val="single" w:sz="4" w:color="D9D9D9"/>
              <w:bottom w:val="single" w:sz="4" w:color="D9D9D9"/>
              <w:right w:val="single" w:sz="4" w:color="D9D9D9"/>
            </w:tcBorders>
          </w:tcPr>
          <w:p>
            <w:pPr>
              <w:spacing w:after="60" w:line="240" w:lineRule="auto"/>
              <w:ind w:firstLine="0"/>
              <w:jc w:val="left"/>
            </w:pPr>
            <w:r>
              <w:rPr>
                <w:b w:val="0"/>
                <w:sz w:val="18"/>
              </w:rPr>
              <w:t>Not applicable</w:t>
            </w:r>
          </w:p>
        </w:tc>
      </w:tr>
      <w:tr>
        <w:trPr>
          <w:cantSplit/>
        </w:trPr>
        <w:tc>
          <w:tcPr>
            <w:tcW w:type="dxa" w:w="3240"/>
            <w:tcBorders>
              <w:top w:val="single" w:sz="4" w:color="D9D9D9"/>
              <w:left w:val="single" w:sz="4" w:color="D9D9D9"/>
              <w:bottom w:val="single" w:sz="4" w:color="D9D9D9"/>
              <w:right w:val="single" w:sz="4" w:color="D9D9D9"/>
            </w:tcBorders>
          </w:tcPr>
          <w:p>
            <w:pPr>
              <w:spacing w:after="60" w:line="240" w:lineRule="auto"/>
              <w:ind w:firstLine="0"/>
              <w:jc w:val="left"/>
            </w:pPr>
            <w:r>
              <w:rPr>
                <w:b w:val="0"/>
                <w:sz w:val="18"/>
              </w:rPr>
              <w:t>Scripted ambient input</w:t>
            </w:r>
          </w:p>
        </w:tc>
        <w:tc>
          <w:tcPr>
            <w:tcW w:type="dxa" w:w="2592"/>
            <w:tcBorders>
              <w:top w:val="single" w:sz="4" w:color="D9D9D9"/>
              <w:left w:val="single" w:sz="4" w:color="D9D9D9"/>
              <w:bottom w:val="single" w:sz="4" w:color="D9D9D9"/>
              <w:right w:val="single" w:sz="4" w:color="D9D9D9"/>
            </w:tcBorders>
          </w:tcPr>
          <w:p>
            <w:pPr>
              <w:spacing w:after="60" w:line="240" w:lineRule="auto"/>
              <w:ind w:firstLine="0"/>
              <w:jc w:val="left"/>
            </w:pPr>
            <w:r>
              <w:rPr>
                <w:b w:val="0"/>
                <w:sz w:val="18"/>
              </w:rPr>
              <w:t>No alert</w:t>
            </w:r>
          </w:p>
        </w:tc>
        <w:tc>
          <w:tcPr>
            <w:tcW w:type="dxa" w:w="2520"/>
            <w:tcBorders>
              <w:top w:val="single" w:sz="4" w:color="D9D9D9"/>
              <w:left w:val="single" w:sz="4" w:color="D9D9D9"/>
              <w:bottom w:val="single" w:sz="4" w:color="D9D9D9"/>
              <w:right w:val="single" w:sz="4" w:color="D9D9D9"/>
            </w:tcBorders>
          </w:tcPr>
          <w:p>
            <w:pPr>
              <w:spacing w:after="60" w:line="240" w:lineRule="auto"/>
              <w:ind w:firstLine="0"/>
              <w:jc w:val="left"/>
            </w:pPr>
            <w:r>
              <w:rPr>
                <w:b w:val="0"/>
                <w:sz w:val="18"/>
              </w:rPr>
              <w:t>Not applicable</w:t>
            </w:r>
          </w:p>
        </w:tc>
      </w:tr>
    </w:tbl>
    <w:p>
      <w:pPr>
        <w:spacing w:after="0"/>
      </w:pPr>
      <w:r/>
    </w:p>
    <w:p>
      <w:pPr/>
      <w:r>
        <w:t>The browser and prepared Wokwi cases use seed 7 and default demonstration thresholds: immediate (2.0, 2.2, 2.4, 2.0), floor (1.6, 1.8, 2.0, 1.6), and urgency (3.0, 3.0, 3.2, 3.0), in horn/siren/shout/beep order. The expanded numerical study instead uses the separately frozen settings in Appendix A. Five demonstration outcomes must not be pooled with the held-out benchmark or substituted for its rates. A warning can occur before the configured horizon; the deadline is a maximum decision budget, not a mandatory delay.</w:t>
      </w:r>
    </w:p>
    <w:p>
      <w:pPr>
        <w:pStyle w:val="Heading2"/>
      </w:pPr>
      <w:r>
        <w:t>10.4 Local launch and review procedure</w:t>
      </w:r>
    </w:p>
    <w:p>
      <w:pPr/>
      <w:r>
        <w:t>In PowerShell, change to the local repository and start the Python server. Keep the terminal open during the demonstration; Ctrl+C stops it. If the port is occupied, open the existing address or choose another port and use its matching URL.</w:t>
      </w:r>
    </w:p>
    <w:p>
      <w:pPr>
        <w:ind w:firstLine="0"/>
      </w:pPr>
      <w:r>
        <w:rPr>
          <w:rFonts w:ascii="Consolas" w:hAnsi="Consolas"/>
          <w:sz w:val="18"/>
        </w:rPr>
        <w:t>cd "C:\Users\Rishit\Desktop\PROJECTS\soundscape-band"</w:t>
      </w:r>
    </w:p>
    <w:p>
      <w:pPr>
        <w:ind w:firstLine="0"/>
      </w:pPr>
      <w:r>
        <w:rPr>
          <w:rFonts w:ascii="Consolas" w:hAnsi="Consolas"/>
          <w:sz w:val="18"/>
        </w:rPr>
        <w:t>python python/simulator_server.py --port 8766</w:t>
      </w:r>
    </w:p>
    <w:p>
      <w:pPr/>
      <w:r>
        <w:t>Open http://127.0.0.1:8766 in a browser on the same computer. Select a case and Run scene, or use Listen and replay. At 0.25× the explanation is easier to inspect, while delay labels remain in model milliseconds. Compare the 64 ms baseline horn command with DEDA’s 128 ms command; then inspect direction dropout and its general warning. Uncertain-class and ambient cases demonstrate the no-alert paths. The full interface retains experiment, trace-export and review-checklist functions. Files under simulator/, python/deda/ and wokwi/ provide the current local demonstration source; the previously supplied numerical archive remains a separate benchmark artifact.</w:t>
      </w:r>
    </w:p>
    <w:p>
      <w:pPr>
        <w:pStyle w:val="Heading1"/>
      </w:pPr>
      <w:r>
        <w:t>11 Scope Limitations and Future Validation</w:t>
      </w:r>
    </w:p>
    <w:p>
      <w:r>
        <w:rPr>
          <w:b w:val="0"/>
        </w:rPr>
        <w:t>The dataset is synthetic and its error distributions are assumed. Repetition across more seeds reduces sampling uncertainty but not model bias. The acoustic generator uses ideal fractional delays and does not include measured room responses, body shadowing, microphone transfer functions or physical capture jitter. The moving surrogate is a simplified signal mixture. No learned recognition model is evaluated, so generated class-score results cannot establish recognition accuracy. No component has demonstrated benefit on held-out wearable recordings.</w:t>
      </w:r>
    </w:p>
    <w:p>
      <w:r>
        <w:t>Physical target-hardware feasibility remains outside this submission. A supplementary C decision-replay sketch compiles for ESP32 and is used in Wokwi with prepared observations. This does not show that acquisition, features, recognition, localization and motor driving fit on an RP2040 or ESP32. The previously reported 312-byte policy state is a host measurement. Compiler storage and global-variable reports describe the replay/display sketch only; they are not measured peak RAM, energy, end-to-end vibration latency or worst-case execution time. Full-pipeline feasibility requires physical common-clock capture, processor profiling and measured motor onset.</w:t>
      </w:r>
    </w:p>
    <w:p>
      <w:r>
        <w:rPr>
          <w:b w:val="0"/>
        </w:rPr>
        <w:t>User validation is also outside the present scope. No Deaf or hard-of-hearing participants were recruited, no usability study or ethical approval is claimed, and no improvement in comprehension, direction finding, response time, comfort or safety has been demonstrated. Future work should involve intended users in selecting cues and obtain institutional approval and informed consent before a counterbalanced study of directional cues, fallback acceptance and notification burden.</w:t>
      </w:r>
    </w:p>
    <w:p>
      <w:r>
        <w:rPr>
          <w:b w:val="0"/>
        </w:rPr>
        <w:t>A later recording study should include quiet/noisy rooms, measured reverberation, body shadowing, moving sources, short horns, multiple sources and synchronization failures using actual synchronized channels. Training, calibration and evaluation must use disjoint clip identities and sessions. A planned 4-class × 4-direction × 3-radius × 3-noise × 3-repetition matrix would contain 432 trials, but does not establish statistical power. Its size must be justified from pilot discordance and session clustering. This is a future protocol, not an experiment completed for the current submission.</w:t>
      </w:r>
    </w:p>
    <w:p>
      <w:pPr>
        <w:pStyle w:val="Heading1"/>
      </w:pPr>
      <w:r>
        <w:t>12 Reproduction and Data Availability</w:t>
      </w:r>
    </w:p>
    <w:p>
      <w:r>
        <w:rPr>
          <w:b w:val="0"/>
        </w:rPr>
        <w:t>The submission includes a reproducibility archive containing the generator and policy source, both study scripts, per-stream metrics, event-policy outcomes, acoustic trials, fixed settings and SHA-256 checksums. Exact score/direction logs can be regenerated by seed. Historical project code is at https://github.com/rizzit17/soundscape-band; the new archive is a local submission artifact, not an asserted public release or archival DOI. There are no real audio recordings or participant data.</w:t>
      </w:r>
    </w:p>
    <w:p>
      <w:r>
        <w:rPr>
          <w:b w:val="0"/>
        </w:rPr>
        <w:t>From the archive project folder, use Python 3.12 and install numpy==2.3.5. Run python python/final_simulation_study.py --workers 4, then python python/supplement_simulation_study.py, followed by python python/test_final_study.py. Numerical results are written under results/final_simulation_study. To regenerate exact main-stream window logs, run python python/final_simulation_study.py --export-stream 3001. CSV outcome rows contain seed, condition, event ID, onset/offset, true and predicted class, true and estimated angle, alert kind, motor mask, latency and evidence index.</w:t>
      </w:r>
    </w:p>
    <w:p>
      <w:r>
        <w:rPr>
          <w:b w:val="0"/>
        </w:rPr>
        <w:t>The results JSON records complete generator and policy settings, per-stream metrics, paired intervals, Holm-adjusted tests, acoustic results, source hashes and runtime versions. SHA256SUMS.txt binds the supplied numerical files. Compressed event outcomes contain 46,722 event-policy rows, corresponding to 3,594 events evaluated by 13 policies; these rows are not 46,722 independent events. The acoustic CSV contains 8,400 estimates of 4,200 scenes. Analysis labels and denominators are preserved in the data README.</w:t>
      </w:r>
    </w:p>
    <w:p>
      <w:pPr>
        <w:jc w:val="left"/>
      </w:pPr>
      <w:r>
        <w:rPr>
          <w:b w:val="0"/>
        </w:rPr>
        <w:t>The main numerical JSON SHA-256 is 21fa280c7138777fd2c4d21b79a39e132903b137071578b232ae6f72492c64d2. Hashes verify file identity, not scientific validity or an external archival release.</w:t>
      </w:r>
    </w:p>
    <w:p>
      <w:pPr>
        <w:pStyle w:val="Heading1"/>
      </w:pPr>
      <w:r>
        <w:t>13 Conclusion</w:t>
      </w:r>
    </w:p>
    <w:p>
      <w:r>
        <w:rPr>
          <w:b w:val="0"/>
        </w:rPr>
        <w:t>This simulation study evaluates DEDA as a policy for separating class acceptance from spatial specificity. Expanded held-out streams support fewer wrong-direction first alerts than raw-angle fusion, but show additional lateness and substantial false-alert burden. Simple fallback and no-direction-wait variants remain strong alternatives. Paired acoustic tests reveal incorrect-but-consistent localization estimates. The contribution is a reproducible analysis of these trade-offs, not a validated wearable or universally superior alerting system.</w:t>
      </w:r>
    </w:p>
    <w:p>
      <w:pPr>
        <w:pStyle w:val="Heading1"/>
      </w:pPr>
      <w:r>
        <w:rPr>
          <w:b w:val="0"/>
        </w:rPr>
        <w:t>Declarations</w:t>
      </w:r>
    </w:p>
    <w:p>
      <w:r>
        <w:rPr>
          <w:b w:val="0"/>
        </w:rPr>
        <w:t>The authors thank Dr. Jayachandran J, Vellore Institute of Technology, for project supervision. No specific grant funding or competing interests are reported. This is a computational simulation study with no human participants or physical device evaluation. No publication acceptance, certification, ethics approval or hardware delivery is asserted.</w:t>
      </w:r>
    </w:p>
    <w:p>
      <w:pPr>
        <w:pStyle w:val="Heading1"/>
      </w:pPr>
      <w:r>
        <w:rPr>
          <w:b w:val="0"/>
        </w:rPr>
        <w:t>References</w:t>
      </w:r>
    </w:p>
    <w:p>
      <w:pPr>
        <w:keepLines/>
        <w:spacing w:line="240" w:lineRule="auto" w:after="80"/>
        <w:ind w:left="216" w:hanging="216"/>
        <w:jc w:val="left"/>
      </w:pPr>
      <w:r>
        <w:rPr>
          <w:b w:val="0"/>
          <w:sz w:val="19"/>
        </w:rPr>
        <w:t>[1] J. Z. Huang, H. Chhabria, and D. Jain, “Not There Yet: Feasibility and Challenges of Mobile Sound Recognition to Support Deaf and Hard-of-Hearing People,” ASSETS, 2023. doi:10.1145/3597638.3608431. https://zjhuang2.github.io/paper/ASSETS23-SWFieldStudy.pdf</w:t>
      </w:r>
    </w:p>
    <w:p>
      <w:pPr>
        <w:keepLines/>
        <w:spacing w:line="240" w:lineRule="auto" w:after="80"/>
        <w:ind w:left="216" w:hanging="216"/>
        <w:jc w:val="left"/>
      </w:pPr>
      <w:r>
        <w:rPr>
          <w:b w:val="0"/>
          <w:sz w:val="19"/>
        </w:rPr>
        <w:t>[2] S. M. Goodman, E. J. McDonnell, J. E. Froehlich, and L. Findlater, “SPECTRA: Personalizable Sound Recognition for Deaf and Hard of Hearing Users through Interactive Machine Learning,” CHI, 2025. doi:10.1145/3706598.3713294.</w:t>
      </w:r>
    </w:p>
    <w:p>
      <w:pPr>
        <w:keepLines/>
        <w:spacing w:line="240" w:lineRule="auto" w:after="80"/>
        <w:ind w:left="216" w:hanging="216"/>
        <w:jc w:val="left"/>
      </w:pPr>
      <w:r>
        <w:rPr>
          <w:b w:val="0"/>
          <w:sz w:val="19"/>
        </w:rPr>
        <w:t>[3] P. K. Chelladurai, Z. Li, M. Weber, T. Oh, and R. L. Peiris, “SoundHapticVR: Head-Based Spatial Haptic Feedback for Accessible Sounds in Virtual Reality for Deaf and Hard of Hearing Users,” ASSETS, 2024. doi:10.1145/3663548.3675639.</w:t>
      </w:r>
    </w:p>
    <w:p>
      <w:pPr>
        <w:keepLines/>
        <w:spacing w:line="240" w:lineRule="auto" w:after="80"/>
        <w:ind w:left="216" w:hanging="216"/>
        <w:jc w:val="left"/>
      </w:pPr>
      <w:r>
        <w:rPr>
          <w:b w:val="0"/>
          <w:sz w:val="19"/>
        </w:rPr>
        <w:t>[4] C. H. Knapp and G. C. Carter, “The Generalized Correlation Method for Estimation of Time Delay,” IEEE Transactions on Acoustics, Speech, and Signal Processing, 24(4), 320–327, 1976. doi:10.1109/TASSP.1976.1162830.</w:t>
      </w:r>
    </w:p>
    <w:p>
      <w:pPr>
        <w:keepLines/>
        <w:spacing w:line="240" w:lineRule="auto" w:after="80"/>
        <w:ind w:left="216" w:hanging="216"/>
        <w:jc w:val="left"/>
      </w:pPr>
      <w:r>
        <w:rPr>
          <w:b w:val="0"/>
          <w:sz w:val="19"/>
        </w:rPr>
        <w:t>[5] J. Scheuing and B. Yang, “Disambiguation of TDOA Estimation for Multiple Sources in Reverberant Environments,” IEEE Transactions on Audio, Speech, and Language Processing, 16(8), 1479–1489, 2008. doi:10.1109/TASL.2008.2004533.</w:t>
      </w:r>
    </w:p>
    <w:p>
      <w:pPr>
        <w:keepLines/>
        <w:spacing w:line="240" w:lineRule="auto" w:after="80"/>
        <w:ind w:left="216" w:hanging="216"/>
        <w:jc w:val="left"/>
      </w:pPr>
      <w:r>
        <w:rPr>
          <w:b w:val="0"/>
          <w:sz w:val="19"/>
        </w:rPr>
        <w:t>[6] F. Grondin et al., “ODAS: Open embeddeD Audition System,” arXiv:2103.03954, 2021, revised 2022. https://arxiv.org/abs/2103.03954</w:t>
      </w:r>
    </w:p>
    <w:p>
      <w:pPr>
        <w:keepLines/>
        <w:spacing w:line="240" w:lineRule="auto" w:after="80"/>
        <w:ind w:left="216" w:hanging="216"/>
        <w:jc w:val="left"/>
      </w:pPr>
      <w:r>
        <w:rPr>
          <w:b w:val="0"/>
          <w:sz w:val="19"/>
        </w:rPr>
        <w:t>[7] J. W. Yeow, E.-L. Tan, J. Bai, S. Peksi, and W.-S. Gan, “Real-Time Sound Event Localization and Detection: Deployment Challenges on Edge Devices,” arXiv:2409.11700, 2024. https://arxiv.org/abs/2409.11700</w:t>
      </w:r>
    </w:p>
    <w:p>
      <w:pPr>
        <w:keepLines/>
        <w:spacing w:line="240" w:lineRule="auto" w:after="80"/>
        <w:ind w:left="216" w:hanging="216"/>
        <w:jc w:val="left"/>
      </w:pPr>
      <w:r>
        <w:rPr>
          <w:b w:val="0"/>
          <w:sz w:val="19"/>
        </w:rPr>
        <w:t>[8] C. Guo, G. Pleiss, Y. Sun, and K. Q. Weinberger, “On Calibration of Modern Neural Networks,” ICML, PMLR 70, 1321–1330, 2017. https://proceedings.mlr.press/v70/guo17a.html</w:t>
      </w:r>
    </w:p>
    <w:p>
      <w:pPr>
        <w:keepLines/>
        <w:spacing w:line="240" w:lineRule="auto" w:after="80"/>
        <w:ind w:left="216" w:hanging="216"/>
        <w:jc w:val="left"/>
      </w:pPr>
      <w:r>
        <w:rPr>
          <w:b w:val="0"/>
          <w:sz w:val="19"/>
        </w:rPr>
        <w:t>[9] Y. Geifman and R. El-Yaniv, “Selective Classification for Deep Neural Networks,” arXiv:1705.08500, 2017. https://arxiv.org/abs/1705.08500</w:t>
      </w:r>
    </w:p>
    <w:p>
      <w:pPr>
        <w:keepLines/>
        <w:spacing w:line="240" w:lineRule="auto" w:after="80"/>
        <w:ind w:left="216" w:hanging="216"/>
        <w:jc w:val="left"/>
      </w:pPr>
      <w:r>
        <w:rPr>
          <w:b w:val="0"/>
          <w:sz w:val="19"/>
        </w:rPr>
        <w:t>[10] A. F. Ebihara, T. Miyagawa, K. Sakurai, and H. Imaoka, “Learning the Optimal Stopping for Early Classification within Finite Horizons via Sequential Probability Ratio Test,” ICLR, 2025. https://arxiv.org/abs/2501.18059</w:t>
      </w:r>
    </w:p>
    <w:p>
      <w:pPr>
        <w:keepLines/>
        <w:spacing w:line="240" w:lineRule="auto" w:after="80"/>
        <w:ind w:left="216" w:hanging="216"/>
        <w:jc w:val="left"/>
      </w:pPr>
      <w:r>
        <w:rPr>
          <w:b w:val="0"/>
          <w:sz w:val="19"/>
        </w:rPr>
        <w:t>[11] X. Zhao, X. Zhang, W. Cheng, W. Yu, Y. Chen, H. Chen, and F. Chen, “SEED: Sound Event Early Detection via Evidential Uncertainty,” ICASSP, 2022; arXiv:2202.02441. https://arxiv.org/abs/2202.02441</w:t>
      </w:r>
    </w:p>
    <w:p>
      <w:pPr>
        <w:pStyle w:val="Heading1"/>
      </w:pPr>
      <w:r>
        <w:rPr>
          <w:b w:val="0"/>
        </w:rPr>
        <w:t>Appendix A Complete Policy and Generator Settings</w:t>
      </w:r>
    </w:p>
    <w:p>
      <w:pPr>
        <w:pStyle w:val="Caption"/>
        <w:keepNext/>
        <w:ind w:firstLine="0"/>
      </w:pPr>
      <w:r>
        <w:rPr>
          <w:b w:val="0"/>
        </w:rPr>
        <w:t>Table A1  Exact frozen policy configuration</w:t>
      </w:r>
    </w:p>
    <w:tbl>
      <w:tblPr>
        <w:tblW w:type="auto" w:w="0"/>
        <w:tblLayout w:type="fixed"/>
        <w:tblLook w:firstColumn="1" w:firstRow="1" w:lastColumn="0" w:lastRow="0" w:noHBand="0" w:noVBand="1" w:val="04A0"/>
      </w:tblPr>
      <w:tblGrid>
        <w:gridCol w:w="2880"/>
        <w:gridCol w:w="5472"/>
      </w:tblGrid>
      <w:tr>
        <w:trPr>
          <w:cantSplit/>
          <w:tblHeader/>
        </w:trPr>
        <w:tc>
          <w:tcPr>
            <w:tcW w:type="dxa" w:w="2880"/>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left"/>
            </w:pPr>
            <w:r>
              <w:rPr>
                <w:b/>
                <w:sz w:val="18"/>
              </w:rPr>
              <w:t>Parameter</w:t>
            </w:r>
          </w:p>
        </w:tc>
        <w:tc>
          <w:tcPr>
            <w:tcW w:type="dxa" w:w="5472"/>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left"/>
            </w:pPr>
            <w:r>
              <w:rPr>
                <w:b/>
                <w:sz w:val="18"/>
              </w:rPr>
              <w:t>Value</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hop_ms</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64.0</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deadline_ms</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300.0</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proc_ms</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60.0</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p_open</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0.35</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clip</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4.0</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kappa</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0.6</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h_hi</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[1.25, 1.45, 1.65, 1.25]</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h_lo</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[-0.15, 0.05, 0.25, -0.15]</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h_urgent</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[2.25, 2.25, 2.45, 2.25]</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margin</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0.5</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h_reject</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-1.0</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rho_min</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0.3</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rho_strong</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0.5</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closure_max</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0.75</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norm_lo</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0.6</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norm_hi</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1.4</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r_min</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0.75</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beta_min</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10.0</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p_off</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0.2</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m_off</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3</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t_max_ms</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8000.0</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move_deg</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60.0</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upd_gap_ms</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1000.0</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upd_alpha</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0.5</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gamma_spatial</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0.0</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use_dir_reliability</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True</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sequential</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True</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fallback_nondir</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True</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wait_for_dir</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True</w:t>
            </w:r>
          </w:p>
        </w:tc>
      </w:tr>
    </w:tbl>
    <w:p>
      <w:pPr>
        <w:spacing w:after="0" w:line="60" w:lineRule="exact"/>
      </w:pPr>
      <w:r>
        <w:rPr>
          <w:b w:val="0"/>
        </w:rPr>
      </w:r>
    </w:p>
    <w:p>
      <w:pPr>
        <w:pStyle w:val="Caption"/>
        <w:keepNext/>
        <w:ind w:firstLine="0"/>
      </w:pPr>
      <w:r>
        <w:rPr>
          <w:b w:val="0"/>
        </w:rPr>
        <w:t>Table A2  Exact base decision generator configuration</w:t>
      </w:r>
    </w:p>
    <w:tbl>
      <w:tblPr>
        <w:tblW w:type="auto" w:w="0"/>
        <w:tblLayout w:type="fixed"/>
        <w:tblLook w:firstColumn="1" w:firstRow="1" w:lastColumn="0" w:lastRow="0" w:noHBand="0" w:noVBand="1" w:val="04A0"/>
      </w:tblPr>
      <w:tblGrid>
        <w:gridCol w:w="2880"/>
        <w:gridCol w:w="5472"/>
      </w:tblGrid>
      <w:tr>
        <w:trPr>
          <w:cantSplit/>
          <w:tblHeader/>
        </w:trPr>
        <w:tc>
          <w:tcPr>
            <w:tcW w:type="dxa" w:w="2880"/>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left"/>
            </w:pPr>
            <w:r>
              <w:rPr>
                <w:b/>
                <w:sz w:val="18"/>
              </w:rPr>
              <w:t>Parameter</w:t>
            </w:r>
          </w:p>
        </w:tc>
        <w:tc>
          <w:tcPr>
            <w:tcW w:type="dxa" w:w="5472"/>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left"/>
            </w:pPr>
            <w:r>
              <w:rPr>
                <w:b/>
                <w:sz w:val="18"/>
              </w:rPr>
              <w:t>Value</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hop_ms</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64.0</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duration_s</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1200</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event_rate_per_min</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2.0</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ev_dur_s</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[0.6, 3.0]</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ramp_ms</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192.0</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strength</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[2.0, 6.0]</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sigma_z</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1.0</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p_class_flip</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0.08</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amb_bias</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2.5</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transient_rate_per_h</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120.0</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transient_boost</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[3.0, 6.5]</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persistent_rate_per_h</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10.0</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persistent_boost</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[2.5, 4.5]</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p_bad_dir</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[0.1, 0.25, 0.45]</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p_flag_bad</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0.7</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sigma_theta</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15.0</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p_missing_dir</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0.02</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noise_corr</w:t>
            </w:r>
          </w:p>
        </w:tc>
        <w:tc>
          <w:tcPr>
            <w:tcW w:type="dxa" w:w="547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0.5</w:t>
            </w:r>
          </w:p>
        </w:tc>
      </w:tr>
    </w:tbl>
    <w:p>
      <w:pPr>
        <w:spacing w:after="0" w:line="60" w:lineRule="exact"/>
      </w:pPr>
      <w:r>
        <w:rPr>
          <w:b w:val="0"/>
        </w:rPr>
      </w:r>
    </w:p>
    <w:p>
      <w:r>
        <w:rPr>
          <w:b w:val="0"/>
        </w:rPr>
        <w:t>Bootstrap seeds are 20261027 plus the condition-group insertion index, in the order listed in study_results.json. Primary paired sign flips use seed 20261028. Acoustic seed-cluster intervals use 20261029. Bootstrap repetitions are 20,000 and sign-flip assignments 100,000. Deadlines are fixed at 150, 300 and 500 ms. All task seed ranges and stress modifications are stored explicitly. The acoustic band is 300–6,000 Hz, lag grid 0.25 sample, and noise RMS is 10^(−SNR/20) relative to the unit-RMS procedural source.</w:t>
      </w:r>
    </w:p>
    <w:p>
      <w:pPr>
        <w:pStyle w:val="Heading1"/>
        <w:pageBreakBefore/>
      </w:pPr>
      <w:r>
        <w:rPr>
          <w:b w:val="0"/>
        </w:rPr>
        <w:t>Appendix B Response to Teacher Feedback Within the Simulation Scope</w:t>
      </w:r>
    </w:p>
    <w:p>
      <w:pPr>
        <w:pStyle w:val="Caption"/>
        <w:keepNext/>
        <w:ind w:firstLine="0"/>
      </w:pPr>
      <w:r>
        <w:rPr>
          <w:b w:val="0"/>
        </w:rPr>
        <w:t>Table B1  Concern and honest scope resolution</w:t>
      </w:r>
    </w:p>
    <w:tbl>
      <w:tblPr>
        <w:tblW w:type="auto" w:w="0"/>
        <w:tblLayout w:type="fixed"/>
        <w:tblLook w:firstColumn="1" w:firstRow="1" w:lastColumn="0" w:lastRow="0" w:noHBand="0" w:noVBand="1" w:val="04A0"/>
      </w:tblPr>
      <w:tblGrid>
        <w:gridCol w:w="2232"/>
        <w:gridCol w:w="6120"/>
      </w:tblGrid>
      <w:tr>
        <w:trPr>
          <w:cantSplit/>
          <w:tblHeader/>
        </w:trPr>
        <w:tc>
          <w:tcPr>
            <w:tcW w:type="dxa" w:w="2232"/>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left"/>
            </w:pPr>
            <w:r>
              <w:rPr>
                <w:b/>
                <w:sz w:val="18"/>
              </w:rPr>
              <w:t>Teacher concern</w:t>
            </w:r>
          </w:p>
        </w:tc>
        <w:tc>
          <w:tcPr>
            <w:tcW w:type="dxa" w:w="6120"/>
            <w:vAlign w:val="center"/>
            <w:tcBorders>
              <w:top w:val="single" w:sz="4" w:color="D9D9D9"/>
              <w:left w:val="single" w:sz="4" w:color="D9D9D9"/>
              <w:bottom w:val="single" w:sz="4" w:color="D9D9D9"/>
              <w:right w:val="single" w:sz="4" w:color="D9D9D9"/>
            </w:tcBorders>
            <w:shd w:fill="EDEDED"/>
            <w:tcMar>
              <w:top w:w="80" w:type="dxa"/>
              <w:bottom w:w="80" w:type="dxa"/>
              <w:left w:w="80" w:type="dxa"/>
              <w:right w:w="80" w:type="dxa"/>
            </w:tcMar>
          </w:tcPr>
          <w:p>
            <w:pPr>
              <w:keepNext/>
              <w:spacing w:after="0" w:line="240" w:lineRule="auto"/>
              <w:ind w:firstLine="0"/>
              <w:jc w:val="left"/>
            </w:pPr>
            <w:r>
              <w:rPr>
                <w:b/>
                <w:sz w:val="18"/>
              </w:rPr>
              <w:t>Action taken and remaining boundary</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Novelty and existing methods</w:t>
            </w:r>
          </w:p>
        </w:tc>
        <w:tc>
          <w:tcPr>
            <w:tcW w:type="dxa" w:w="61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Decision-level integration separated from established front-end methods; recent literature and local baselines discussed. Overall superiority is not claimed.</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Real-device versus simulation results</w:t>
            </w:r>
          </w:p>
        </w:tc>
        <w:tc>
          <w:tcPr>
            <w:tcW w:type="dxa" w:w="61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All current evidence labeled synthetic. No actual three-microphone wearable recordings, body-shadowing study or room validation is asserted.</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Target-board execution and resources</w:t>
            </w:r>
          </w:p>
        </w:tc>
        <w:tc>
          <w:tcPr>
            <w:tcW w:type="dxa" w:w="61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0"/>
              <w:jc w:val="left"/>
            </w:pPr>
            <w:r>
              <w:rPr>
                <w:sz w:val="18"/>
              </w:rPr>
              <w:t>C decision replay compiled for ESP32 and demonstrated virtually in Wokwi. Compiler figures describe that sketch only; full audio-pipeline transfer, physical RAM/energy, vibration latency and worst-case timing remain unmeasured.</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Component importance and simpler baselines</w:t>
            </w:r>
          </w:p>
        </w:tc>
        <w:tc>
          <w:tcPr>
            <w:tcW w:type="dxa" w:w="61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Same-stream baseline and ablation comparisons expanded; paired acoustic bin control added. Adverse outcomes and non-isolated ablation effects are reported.</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Plausible wrong directions and error realism</w:t>
            </w:r>
          </w:p>
        </w:tc>
        <w:tc>
          <w:tcPr>
            <w:tcW w:type="dxa" w:w="61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Flag sensitivity, coherent 180° errors, correlated scores/noise, short bursts, competing sources and offsets tested synthetically. Real-world frequencies remain unknown.</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Deadline justification and timeliness</w:t>
            </w:r>
          </w:p>
        </w:tc>
        <w:tc>
          <w:tcPr>
            <w:tcW w:type="dxa" w:w="61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300 ms described as an engineering sensitivity point; misses and late outputs disclosed, with late-episode diagnostics and a no-wait comparator. Physical timing remains unmeasured.</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Dataset size and statistics</w:t>
            </w:r>
          </w:p>
        </w:tc>
        <w:tc>
          <w:tcPr>
            <w:tcW w:type="dxa" w:w="61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100 independent main seeds, 3,594 events, separate stress/deadline sets; cluster bootstrap, paired tests and Holm adjustment. No claim of independent real sessions.</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Metric definitions and fallback trade-offs</w:t>
            </w:r>
          </w:p>
        </w:tc>
        <w:tc>
          <w:tcPr>
            <w:tcW w:type="dxa" w:w="61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Misses, lateness, wrong guidance, conditional angle error, exposure-normalized false alarms, class-aware timing and notification burden defined and reported.</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Usability and participant benefit</w:t>
            </w:r>
          </w:p>
        </w:tc>
        <w:tc>
          <w:tcPr>
            <w:tcW w:type="dxa" w:w="61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spacing w:after="0" w:line="240" w:lineRule="auto"/>
              <w:ind w:firstLine="0"/>
              <w:jc w:val="left"/>
            </w:pPr>
            <w:r>
              <w:rPr>
                <w:b w:val="0"/>
                <w:sz w:val="18"/>
              </w:rPr>
              <w:t>No user study or demonstrated benefit claimed; ethics and informed consent reserved for future participant work.</w:t>
            </w:r>
          </w:p>
        </w:tc>
      </w:tr>
      <w:tr>
        <w:trPr>
          <w:cantSplit/>
        </w:trPr>
        <w:tc>
          <w:tcPr>
            <w:tcW w:type="dxa" w:w="2232"/>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Generalization and reproducibility</w:t>
            </w:r>
          </w:p>
        </w:tc>
        <w:tc>
          <w:tcPr>
            <w:tcW w:type="dxa" w:w="6120"/>
            <w:vAlign w:val="center"/>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spacing w:after="0" w:line="240" w:lineRule="auto"/>
              <w:ind w:firstLine="0"/>
              <w:jc w:val="left"/>
            </w:pPr>
            <w:r>
              <w:rPr>
                <w:b w:val="0"/>
                <w:sz w:val="18"/>
              </w:rPr>
              <w:t>Multiple simulated layouts, source directions/types and acoustic surrogates; executable source, outcomes, settings, hashes and commands accompany submission. Physical generalization is unestablished.</w:t>
            </w:r>
          </w:p>
        </w:tc>
      </w:tr>
    </w:tbl>
    <w:p>
      <w:pPr>
        <w:spacing w:after="0" w:line="60" w:lineRule="exact"/>
      </w:pPr>
      <w:r>
        <w:rPr>
          <w:b w:val="0"/>
        </w:rPr>
      </w:r>
    </w:p>
    <w:sectPr w:rsidR="00FC693F" w:rsidRPr="0006063C" w:rsidSect="00034616">
      <w:footerReference w:type="default" r:id="rId9"/>
      <w:pgSz w:w="11906" w:h="16838"/>
      <w:pgMar w:top="1080" w:right="1181" w:bottom="1080"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0" w:lineRule="auto"/>
      <w:ind w:firstLine="0"/>
      <w:jc w:val="both"/>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5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50" w:lineRule="auto"/>
      <w:outlineLvl w:val="1"/>
    </w:pPr>
    <w:rPr>
      <w:rFonts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2" w:lineRule="auto"/>
      <w:contextualSpacing/>
    </w:pPr>
    <w:rPr>
      <w:rFonts w:ascii="Times New Roman" w:hAnsi="Times New Roman" w:eastAsia="Times New Roman" w:cs="Times New Roman"/>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00" w:line="250" w:lineRule="auto"/>
    </w:pPr>
    <w:rPr>
      <w:rFonts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Times New Roman" w:hAnsi="Times New Roman" w:eastAsia="Times New Roman" w:cs="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SoundScape Band Simulation Study of Directional Haptic Alert Decisions</dc:title>
  <dc:subject>Simulation study updated with audible browser replay and Wokwi policy demonstration</dc:subject>
  <dc:creator>Rishit Chaudhary; Siddharth Verma; Deeksha V</dc:creator>
  <cp:keywords/>
  <dc:description>generated by python-docx</dc:description>
  <cp:lastModifiedBy/>
  <cp:revision>1</cp:revision>
  <dcterms:created xsi:type="dcterms:W3CDTF">2013-12-23T23:15:00Z</dcterms:created>
  <dcterms:modified xsi:type="dcterms:W3CDTF">2013-12-23T23:15:00Z</dcterms:modified>
  <cp:category/>
</cp:coreProperties>
</file>