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SoundScape Band Simulation Study of Dual Evidence Directional Alerting</w:t>
      </w:r>
    </w:p>
    <w:p>
      <w:pPr>
        <w:ind w:firstLine="0"/>
        <w:jc w:val="center"/>
      </w:pPr>
      <w:r>
        <w:rPr>
          <w:b w:val="0"/>
        </w:rPr>
        <w:t>Rishit Chaudhary     Siddharth Verma     Deeksha V</w:t>
      </w:r>
    </w:p>
    <w:p>
      <w:pPr>
        <w:spacing w:after="240"/>
        <w:ind w:firstLine="0"/>
        <w:jc w:val="center"/>
      </w:pPr>
      <w:r>
        <w:rPr>
          <w:b w:val="0"/>
        </w:rPr>
        <w:t>Department of Internet of Things, School of Computer Science and Engineering</w:t>
        <w:br/>
        <w:t>Vellore Institute of Technology, Vellore 632014, Tamil Nadu, India</w:t>
      </w:r>
    </w:p>
    <w:p>
      <w:pPr>
        <w:spacing w:line="20" w:lineRule="exact" w:after="0"/>
        <w:sectPr>
          <w:pgSz w:w="12240" w:h="15840"/>
          <w:pgMar w:top="922" w:right="936" w:bottom="922" w:left="936" w:header="432" w:footer="432" w:gutter="0"/>
          <w:cols w:space="720"/>
          <w:docGrid w:linePitch="360"/>
        </w:sectPr>
      </w:pPr>
    </w:p>
    <w:p>
      <w:r>
        <w:t>Abstract—We evaluate Dual Evidence Deadline Alerting (DEDA), a policy that separates sound-class acceptance from direction acceptance and degrades uncertain spatial cues to general virtual warnings. Established GCC-PHAT, coherence and geometric checks are reused rather than claimed as new estimators. An expanded study contains 100 fresh synthetic streams with 3,594 events, separate stress and deadline sets, and 4,200 paired acoustic scenes. DEDA reduces mean wrong-direction events from 20.31% to 2.45%, but increases missed-or-late events by 5.12 percentage points and produces 286.8 false alerts per simulated ambient hour. Strongest-bin selection helps clean scenes but does not resolve coherent competing-source or timing errors. Immediate fallback and no-wait variants remain strong alternatives. The contribution is reproducible analysis of a decision trade-off. An audible browser demonstrator and Wokwi policy replay support inspection. No physical prototype, recorded wearable audio or participant validation is submitted; physical timing and user benefit remain unestablished.</w:t>
      </w:r>
    </w:p>
    <w:p>
      <w:r>
        <w:rPr>
          <w:b/>
        </w:rPr>
        <w:t>Index Terms—sound localization, haptic alert decisions, uncertainty, simulation, synthetic evaluation.</w:t>
      </w:r>
    </w:p>
    <w:p>
      <w:pPr>
        <w:pStyle w:val="Heading1"/>
      </w:pPr>
      <w:r>
        <w:rPr>
          <w:b w:val="0"/>
        </w:rPr>
        <w:t>I. Introduction and Related Work</w:t>
      </w:r>
    </w:p>
    <w:p>
      <w:r>
        <w:rPr>
          <w:b w:val="0"/>
        </w:rPr>
        <w:t>Environmental sound awareness can support Deaf and hard-of-hearing people, but a warning can be misleading if its sound class is plausible while its spatial cue is wrong. Mobile-recognition field work identifies background noise, sound variability and similar classes as practical problems [1]. SPECTRA addresses personalized model construction [2], and SoundHapticVR studies spatial haptic presentation in virtual reality [3]. These motivate the research question; their participant findings do not validate SoundScape Band.</w:t>
      </w:r>
    </w:p>
    <w:p>
      <w:r>
        <w:rPr>
          <w:b w:val="0"/>
        </w:rPr>
        <w:t>DEDA contributes a decision interface: sound-class acceptance and directional acceptance are separate, an evidence episode has a finite horizon, an accepted class may retain a general warning when direction is uncertain, and later evidence may refine the direction. This integrates established components into a policy that makes spatial abstention explicit. It does not introduce a new sound recognizer, delay estimator, coherence measure or geometric correctness certificate.</w:t>
      </w:r>
    </w:p>
    <w:p>
      <w:r>
        <w:rPr>
          <w:b w:val="0"/>
        </w:rPr>
        <w:t>GCC-PHAT time-delay estimation [4], TDOA consistency constraints [5], and embedded audition systems such as ODAS [6] predate this work. Edge sound-event localization and detection has separate deployment constraints [7]. Calibration [8] and selective classification [9] address score reliability and rejection. FIRMBOUND learns stopping rules for finite-horizon early classification [10]; SEED models early sound-event uncertainty through evidential learning [11]. DEDA is a hand-designed empirical score and fallback policy, with no Bayes-optimality or calibrated-risk guarantee. Published systems are discussed conceptually, not represented as reimplemented numerical baselines.</w:t>
      </w:r>
    </w:p>
    <w:p>
      <w:r>
        <w:rPr>
          <w:b w:val="0"/>
        </w:rPr>
        <w:t>The hypothesized benefit over rejecting an uncertain direction is to preserve the class warning. The hypothesized benefit over unconditional raw-angle fusion is fewer misleading spatial cues. Neither establishes an overall advantage: general warnings convey less information, waiting can increase lateness, and class confusers can still cause false alerts. The comparison therefore evaluates a joint trade-off, rather than treating wrong-direction rate alone as system utility.</w:t>
      </w:r>
    </w:p>
    <w:p>
      <w:pPr>
        <w:pStyle w:val="Heading1"/>
      </w:pPr>
      <w:r>
        <w:rPr>
          <w:b w:val="0"/>
        </w:rPr>
        <w:t>II. Simulation Model and Policy</w:t>
      </w:r>
    </w:p>
    <w:p>
      <w:r>
        <w:rPr>
          <w:b w:val="0"/>
        </w:rPr>
        <w:t>The simulated equilateral microphone triangle has side 35 mm and coordinates (0, 20.207), (17.500, −10.104), (−17.500, −10.104) mm. The x axis points right, y forward, and azimuth increases clockwise from forward. Pair order is (0,1), (1,2), (2,0). Under the far-field assumption, delays in samples satisfy τ = Au at sound speed 343 m/s. The pseudoinverse gives v = Pτ, azimuth atan2(vx, vy), norm ν = ‖v‖, and closure e = |τ01 + τ12 + τ20|. These coordinates and propagation assumptions are virtual, not measured on a wearer.</w:t>
      </w:r>
    </w:p>
    <w:p>
      <w:r>
        <w:rPr>
          <w:b w:val="0"/>
        </w:rPr>
        <w:t>GCC-PHAT is evaluated on a 0.25-sample grid in the 300 Hz–6 kHz band. Strongest-bin selection retains the top 25% of cross-power bins; its paired control uses all bins on exactly the same microphone samples. A window passes when minimum normalized PHAT peak ρ ≥ 0.30, closure e ≤ 0.75 sample and 0.60 ≤ ν ≤ 1.40. A 35 mm baseline permits only about 1.63 samples of far-field delay at 16 kHz. The checks indicate model consistency and are not probabilities of correct localization.</w:t>
      </w:r>
    </w:p>
    <w:p>
      <w:r>
        <w:rPr>
          <w:b w:val="0"/>
        </w:rPr>
        <w:t>The policy receives generated scores for horn, siren, shout, reversing beep and ambient at a 64 ms hop. An unsuppressed critical score reaching 0.35 opens an episode. The contribution λ is clipped log odds, clip(log(p/(1−p)), −4, 4). Later contributions have weight κ = 0.6. A class must exceed its threshold and lead the runner-up by 0.5; the threshold falls linearly from its initial value to its floor. Correlated windows are not independent, so the accumulated score is empirical rather than a formal likelihood ratio.</w:t>
      </w:r>
    </w:p>
    <w:p>
      <w:pPr>
        <w:spacing w:line="240" w:lineRule="auto"/>
        <w:ind w:firstLine="0"/>
        <w:jc w:val="center"/>
      </w:pPr>
      <w:r>
        <w:rPr>
          <w:b w:val="0"/>
        </w:rPr>
      </w:r>
      <m:oMath>
        <m:sSub>
          <m:sSubPr>
            <m:ctrlPr>
              <w:rPr>
                <w:rFonts w:ascii="Cambria Math" w:hAnsi="Cambria Math"/>
                <w:color w:val="000000" w:themeColor="text1"/>
              </w:rPr>
            </m:ctrlPr>
          </m:sSubPr>
          <m:e>
            <m:r>
              <w:rPr>
                <w:rFonts w:ascii="Cambria Math" w:hAnsi="Cambria Math"/>
                <w:color w:val="000000" w:themeColor="text1"/>
                <w:sz w:val="17"/>
              </w:rPr>
              <m:t>Λ</m:t>
            </m:r>
          </m:e>
          <m:sub>
            <m:r>
              <w:rPr>
                <w:rFonts w:ascii="Cambria Math" w:hAnsi="Cambria Math"/>
                <w:color w:val="000000" w:themeColor="text1"/>
                <w:sz w:val="17"/>
              </w:rPr>
              <m:t>k</m:t>
            </m:r>
          </m:sub>
        </m:sSub>
        <m:d>
          <m:dPr>
            <m:ctrlPr>
              <w:rPr>
                <w:rFonts w:ascii="Cambria Math" w:hAnsi="Cambria Math"/>
                <w:color w:val="000000" w:themeColor="text1"/>
              </w:rPr>
            </m:ctrlPr>
          </m:dPr>
          <m:e>
            <m:r>
              <w:rPr>
                <w:rFonts w:ascii="Cambria Math" w:hAnsi="Cambria Math"/>
                <w:color w:val="000000" w:themeColor="text1"/>
                <w:sz w:val="17"/>
              </w:rPr>
              <m:t>c</m:t>
            </m:r>
          </m:e>
        </m:d>
        <m:r>
          <m:rPr>
            <m:sty m:val="p"/>
          </m:rPr>
          <w:rPr>
            <w:rFonts w:ascii="Cambria Math" w:hAnsi="Cambria Math"/>
            <w:color w:val="000000" w:themeColor="text1"/>
            <w:sz w:val="17"/>
          </w:rPr>
          <m:t>=</m:t>
        </m:r>
        <m:sSub>
          <m:sSubPr>
            <m:ctrlPr>
              <w:rPr>
                <w:rFonts w:ascii="Cambria Math" w:hAnsi="Cambria Math"/>
                <w:color w:val="000000" w:themeColor="text1"/>
              </w:rPr>
            </m:ctrlPr>
          </m:sSubPr>
          <m:e>
            <m:r>
              <w:rPr>
                <w:rFonts w:ascii="Cambria Math" w:hAnsi="Cambria Math"/>
                <w:color w:val="000000" w:themeColor="text1"/>
                <w:sz w:val="17"/>
              </w:rPr>
              <m:t>λ</m:t>
            </m:r>
          </m:e>
          <m:sub>
            <m:sSub>
              <m:sSubPr>
                <m:ctrlPr>
                  <w:rPr>
                    <w:rFonts w:ascii="Cambria Math" w:hAnsi="Cambria Math"/>
                    <w:color w:val="000000" w:themeColor="text1"/>
                  </w:rPr>
                </m:ctrlPr>
              </m:sSubPr>
              <m:e>
                <m:r>
                  <w:rPr>
                    <w:rFonts w:ascii="Cambria Math" w:hAnsi="Cambria Math"/>
                    <w:color w:val="000000" w:themeColor="text1"/>
                    <w:sz w:val="17"/>
                  </w:rPr>
                  <m:t>t</m:t>
                </m:r>
              </m:e>
              <m:sub>
                <m:r>
                  <w:rPr>
                    <w:rFonts w:ascii="Cambria Math" w:hAnsi="Cambria Math"/>
                    <w:color w:val="000000" w:themeColor="text1"/>
                    <w:sz w:val="17"/>
                  </w:rPr>
                  <m:t>0</m:t>
                </m:r>
              </m:sub>
            </m:sSub>
          </m:sub>
        </m:sSub>
        <m:d>
          <m:dPr>
            <m:ctrlPr>
              <w:rPr>
                <w:rFonts w:ascii="Cambria Math" w:hAnsi="Cambria Math"/>
                <w:color w:val="000000" w:themeColor="text1"/>
              </w:rPr>
            </m:ctrlPr>
          </m:dPr>
          <m:e>
            <m:r>
              <w:rPr>
                <w:rFonts w:ascii="Cambria Math" w:hAnsi="Cambria Math"/>
                <w:color w:val="000000" w:themeColor="text1"/>
                <w:sz w:val="17"/>
              </w:rPr>
              <m:t>c</m:t>
            </m:r>
          </m:e>
        </m:d>
        <m:r>
          <m:rPr>
            <m:sty m:val="p"/>
          </m:rPr>
          <w:rPr>
            <w:rFonts w:ascii="Cambria Math" w:hAnsi="Cambria Math"/>
            <w:color w:val="000000" w:themeColor="text1"/>
            <w:sz w:val="17"/>
          </w:rPr>
          <m:t>+</m:t>
        </m:r>
        <m:r>
          <w:rPr>
            <w:rFonts w:ascii="Cambria Math" w:hAnsi="Cambria Math"/>
            <w:color w:val="000000" w:themeColor="text1"/>
            <w:sz w:val="17"/>
          </w:rPr>
          <m:t>κ</m:t>
        </m:r>
        <m:nary>
          <m:naryPr>
            <m:chr m:val="∑"/>
            <m:limLoc m:val="undOvr"/>
            <m:ctrlPr>
              <w:rPr>
                <w:rFonts w:ascii="Cambria Math" w:hAnsi="Cambria Math"/>
                <w:color w:val="000000" w:themeColor="text1"/>
              </w:rPr>
            </m:ctrlPr>
          </m:naryPr>
          <m:sub>
            <m:r>
              <w:rPr>
                <w:rFonts w:ascii="Cambria Math" w:hAnsi="Cambria Math"/>
                <w:color w:val="000000" w:themeColor="text1"/>
                <w:sz w:val="17"/>
              </w:rPr>
              <m:t>j</m:t>
            </m:r>
            <m:r>
              <m:rPr>
                <m:sty m:val="p"/>
              </m:rPr>
              <w:rPr>
                <w:rFonts w:ascii="Cambria Math" w:hAnsi="Cambria Math"/>
                <w:color w:val="000000" w:themeColor="text1"/>
                <w:sz w:val="17"/>
              </w:rPr>
              <m:t>=</m:t>
            </m:r>
            <m:r>
              <w:rPr>
                <w:rFonts w:ascii="Cambria Math" w:hAnsi="Cambria Math"/>
                <w:color w:val="000000" w:themeColor="text1"/>
                <w:sz w:val="17"/>
              </w:rPr>
              <m:t>1</m:t>
            </m:r>
          </m:sub>
          <m:sup>
            <m:r>
              <w:rPr>
                <w:rFonts w:ascii="Cambria Math" w:hAnsi="Cambria Math"/>
                <w:color w:val="000000" w:themeColor="text1"/>
                <w:sz w:val="17"/>
              </w:rPr>
              <m:t>k</m:t>
            </m:r>
          </m:sup>
          <m:e>
            <m:sSub>
              <m:sSubPr>
                <m:ctrlPr>
                  <w:rPr>
                    <w:rFonts w:ascii="Cambria Math" w:hAnsi="Cambria Math"/>
                    <w:color w:val="000000" w:themeColor="text1"/>
                  </w:rPr>
                </m:ctrlPr>
              </m:sSubPr>
              <m:e>
                <m:r>
                  <w:rPr>
                    <w:rFonts w:ascii="Cambria Math" w:hAnsi="Cambria Math"/>
                    <w:color w:val="000000" w:themeColor="text1"/>
                    <w:sz w:val="17"/>
                  </w:rPr>
                  <m:t>λ</m:t>
                </m:r>
              </m:e>
              <m:sub>
                <m:sSub>
                  <m:sSubPr>
                    <m:ctrlPr>
                      <w:rPr>
                        <w:rFonts w:ascii="Cambria Math" w:hAnsi="Cambria Math"/>
                        <w:color w:val="000000" w:themeColor="text1"/>
                      </w:rPr>
                    </m:ctrlPr>
                  </m:sSubPr>
                  <m:e>
                    <m:r>
                      <w:rPr>
                        <w:rFonts w:ascii="Cambria Math" w:hAnsi="Cambria Math"/>
                        <w:color w:val="000000" w:themeColor="text1"/>
                        <w:sz w:val="17"/>
                      </w:rPr>
                      <m:t>t</m:t>
                    </m:r>
                  </m:e>
                  <m:sub>
                    <m:r>
                      <w:rPr>
                        <w:rFonts w:ascii="Cambria Math" w:hAnsi="Cambria Math"/>
                        <w:color w:val="000000" w:themeColor="text1"/>
                        <w:sz w:val="17"/>
                      </w:rPr>
                      <m:t>0</m:t>
                    </m:r>
                  </m:sub>
                </m:sSub>
                <m:r>
                  <m:rPr>
                    <m:sty m:val="p"/>
                  </m:rPr>
                  <w:rPr>
                    <w:rFonts w:ascii="Cambria Math" w:hAnsi="Cambria Math"/>
                    <w:color w:val="000000" w:themeColor="text1"/>
                    <w:sz w:val="17"/>
                  </w:rPr>
                  <m:t>+</m:t>
                </m:r>
                <m:r>
                  <w:rPr>
                    <w:rFonts w:ascii="Cambria Math" w:hAnsi="Cambria Math"/>
                    <w:color w:val="000000" w:themeColor="text1"/>
                    <w:sz w:val="17"/>
                  </w:rPr>
                  <m:t>j</m:t>
                </m:r>
              </m:sub>
            </m:sSub>
          </m:e>
        </m:nary>
        <m:d>
          <m:dPr>
            <m:ctrlPr>
              <w:rPr>
                <w:rFonts w:ascii="Cambria Math" w:hAnsi="Cambria Math"/>
                <w:color w:val="000000" w:themeColor="text1"/>
              </w:rPr>
            </m:ctrlPr>
          </m:dPr>
          <m:e>
            <m:r>
              <w:rPr>
                <w:rFonts w:ascii="Cambria Math" w:hAnsi="Cambria Math"/>
                <w:color w:val="000000" w:themeColor="text1"/>
                <w:sz w:val="17"/>
              </w:rPr>
              <m:t>c</m:t>
            </m:r>
          </m:e>
        </m:d>
        <m:r>
          <m:rPr>
            <m:sty m:val="p"/>
          </m:rPr>
          <w:rPr>
            <w:rFonts w:ascii="Cambria Math" w:hAnsi="Cambria Math"/>
            <w:color w:val="000000" w:themeColor="text1"/>
            <w:sz w:val="17"/>
          </w:rPr>
          <m:t>,</m:t>
        </m:r>
        <m:r>
          <w:rPr>
            <w:rFonts w:ascii="Cambria Math" w:hAnsi="Cambria Math"/>
            <w:color w:val="000000" w:themeColor="text1"/>
            <w:sz w:val="17"/>
          </w:rPr>
          <m:t>  k</m:t>
        </m:r>
        <m:r>
          <m:rPr>
            <m:sty m:val="p"/>
          </m:rPr>
          <w:rPr>
            <w:rFonts w:ascii="Cambria Math" w:hAnsi="Cambria Math"/>
            <w:color w:val="000000" w:themeColor="text1"/>
            <w:sz w:val="17"/>
          </w:rPr>
          <m:t>=</m:t>
        </m:r>
        <m:r>
          <w:rPr>
            <w:rFonts w:ascii="Cambria Math" w:hAnsi="Cambria Math"/>
            <w:color w:val="000000" w:themeColor="text1"/>
            <w:sz w:val="17"/>
          </w:rPr>
          <m:t>0</m:t>
        </m:r>
        <m:r>
          <m:rPr>
            <m:sty m:val="p"/>
          </m:rPr>
          <w:rPr>
            <w:rFonts w:ascii="Cambria Math" w:hAnsi="Cambria Math"/>
            <w:color w:val="000000" w:themeColor="text1"/>
            <w:sz w:val="17"/>
          </w:rPr>
          <m:t>,</m:t>
        </m:r>
        <m:r>
          <w:rPr>
            <w:rFonts w:ascii="Cambria Math" w:hAnsi="Cambria Math"/>
            <w:color w:val="000000" w:themeColor="text1"/>
            <w:sz w:val="17"/>
          </w:rPr>
          <m:t>1</m:t>
        </m:r>
        <m:r>
          <m:rPr>
            <m:sty m:val="p"/>
          </m:rPr>
          <w:rPr>
            <w:rFonts w:ascii="Cambria Math" w:hAnsi="Cambria Math"/>
            <w:color w:val="000000" w:themeColor="text1"/>
            <w:sz w:val="17"/>
          </w:rPr>
          <m:t>,…,</m:t>
        </m:r>
        <m:r>
          <w:rPr>
            <w:rFonts w:ascii="Cambria Math" w:hAnsi="Cambria Math"/>
            <w:color w:val="000000" w:themeColor="text1"/>
            <w:sz w:val="17"/>
          </w:rPr>
          <m:t>K</m:t>
        </m:r>
      </m:oMath>
      <w:r>
        <w:t xml:space="preserve">   (1)</w:t>
      </w:r>
    </w:p>
    <w:p>
      <w:r>
        <w:rPr>
          <w:b w:val="0"/>
        </w:rPr>
        <w:t>The implementation clamps K to a non-negative integer. With hop H = 64 ms, design target D = 300 ms and assumed processing allowance Tproc = 60 ms, K = 2. The K = 0 case avoids interpolation division. The 300 ms setting is retained as a testable engineering reference, not an established human-response or clinical requirement. A finite horizon after evidence opens does not guarantee an alert within 300 ms of the true sound onset; the allowance is not measured processor time.</w:t>
      </w:r>
    </w:p>
    <w:p>
      <w:pPr>
        <w:spacing w:line="240" w:lineRule="auto"/>
        <w:ind w:firstLine="0"/>
        <w:jc w:val="center"/>
      </w:pPr>
      <w:r>
        <w:rPr>
          <w:b w:val="0"/>
        </w:rPr>
      </w:r>
      <m:oMath>
        <m:r>
          <w:rPr>
            <w:rFonts w:ascii="Cambria Math" w:hAnsi="Cambria Math"/>
            <w:color w:val="000000" w:themeColor="text1"/>
            <w:sz w:val="17"/>
          </w:rPr>
          <m:t>K</m:t>
        </m:r>
        <m:r>
          <m:rPr>
            <m:sty m:val="p"/>
          </m:rPr>
          <w:rPr>
            <w:rFonts w:ascii="Cambria Math" w:hAnsi="Cambria Math"/>
            <w:color w:val="000000" w:themeColor="text1"/>
            <w:sz w:val="17"/>
          </w:rPr>
          <m:t>=</m:t>
        </m:r>
        <m:d>
          <m:dPr>
            <m:begChr m:val="⌊"/>
            <m:endChr m:val="⌋"/>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sz w:val="17"/>
                  </w:rPr>
                  <m:t>D</m:t>
                </m:r>
                <m:r>
                  <m:rPr>
                    <m:sty m:val="p"/>
                  </m:rPr>
                  <w:rPr>
                    <w:rFonts w:ascii="Cambria Math" w:hAnsi="Cambria Math"/>
                    <w:color w:val="000000" w:themeColor="text1"/>
                    <w:sz w:val="17"/>
                  </w:rPr>
                  <m:t>-</m:t>
                </m:r>
                <m:sSub>
                  <m:sSubPr>
                    <m:ctrlPr>
                      <w:rPr>
                        <w:rFonts w:ascii="Cambria Math" w:hAnsi="Cambria Math"/>
                        <w:color w:val="000000" w:themeColor="text1"/>
                      </w:rPr>
                    </m:ctrlPr>
                  </m:sSubPr>
                  <m:e>
                    <m:r>
                      <w:rPr>
                        <w:rFonts w:ascii="Cambria Math" w:hAnsi="Cambria Math"/>
                        <w:color w:val="000000" w:themeColor="text1"/>
                        <w:sz w:val="17"/>
                      </w:rPr>
                      <m:t>T</m:t>
                    </m:r>
                  </m:e>
                  <m:sub>
                    <m:r>
                      <w:rPr>
                        <w:rFonts w:ascii="Cambria Math" w:hAnsi="Cambria Math"/>
                        <w:color w:val="000000" w:themeColor="text1"/>
                        <w:sz w:val="17"/>
                      </w:rPr>
                      <m:t>proc</m:t>
                    </m:r>
                  </m:sub>
                </m:sSub>
              </m:num>
              <m:den>
                <m:r>
                  <w:rPr>
                    <w:rFonts w:ascii="Cambria Math" w:hAnsi="Cambria Math"/>
                    <w:color w:val="000000" w:themeColor="text1"/>
                    <w:sz w:val="17"/>
                  </w:rPr>
                  <m:t>H</m:t>
                </m:r>
              </m:den>
            </m:f>
          </m:e>
        </m:d>
        <m:r>
          <m:rPr>
            <m:sty m:val="p"/>
          </m:rPr>
          <w:rPr>
            <w:rFonts w:ascii="Cambria Math" w:hAnsi="Cambria Math"/>
            <w:color w:val="000000" w:themeColor="text1"/>
            <w:sz w:val="17"/>
          </w:rPr>
          <m:t>-</m:t>
        </m:r>
        <m:r>
          <w:rPr>
            <w:rFonts w:ascii="Cambria Math" w:hAnsi="Cambria Math"/>
            <w:color w:val="000000" w:themeColor="text1"/>
            <w:sz w:val="17"/>
          </w:rPr>
          <m:t>1</m:t>
        </m:r>
      </m:oMath>
      <w:r>
        <w:t xml:space="preserve">   (2)</w:t>
      </w:r>
    </w:p>
    <w:p>
      <w:r>
        <w:rPr>
          <w:b w:val="0"/>
        </w:rPr>
        <w:t>Valid direction windows form coherence-weighted unit vectors. Their normalized resultant concentration must reach 0.75; a single window additionally needs coherence ≥ 0.50. The nearest virtual motor is selected, with both adjacent motors within a 10° band around a quadrant boundary. An accepted class with trusted direction gives a directional warning. Otherwise the accepted class can wait to K, then give a general four-motor warning; an urgency threshold bypasses waiting. Later valid directions may refine a general warning.</w:t>
      </w:r>
    </w:p>
    <w:p>
      <w:r>
        <w:rPr>
          <w:b w:val="0"/>
        </w:rPr>
        <w:t>All outputs are virtual motor masks. Shared suppression releases a class after three scores below 0.20 or an 8 s timeout. Updates require a 60° change and 1 s gap and do not establish first detection. The spatial class prior is disabled. No trained recognizer or hardware pipeline is included in this study.</w:t>
      </w:r>
    </w:p>
    <w:p>
      <w:pPr>
        <w:keepNext/>
        <w:spacing w:line="240" w:lineRule="auto"/>
        <w:ind w:firstLine="0"/>
        <w:jc w:val="center"/>
      </w:pPr>
      <w:r>
        <w:rPr>
          <w:b w:val="0"/>
        </w:rPr>
      </w:r>
      <w:r>
        <w:drawing>
          <wp:inline xmlns:a="http://schemas.openxmlformats.org/drawingml/2006/main" xmlns:pic="http://schemas.openxmlformats.org/drawingml/2006/picture">
            <wp:extent cx="3063240" cy="1940052"/>
            <wp:docPr id="1" name="Picture 1" descr="Class acceptance and spatial acceptance lead to directional, general, or rejected virtual warnings"/>
            <wp:cNvGraphicFramePr>
              <a:graphicFrameLocks noChangeAspect="1"/>
            </wp:cNvGraphicFramePr>
            <a:graphic>
              <a:graphicData uri="http://schemas.openxmlformats.org/drawingml/2006/picture">
                <pic:pic>
                  <pic:nvPicPr>
                    <pic:cNvPr id="0" name="policy.png"/>
                    <pic:cNvPicPr/>
                  </pic:nvPicPr>
                  <pic:blipFill>
                    <a:blip r:embed="rId9"/>
                    <a:stretch>
                      <a:fillRect/>
                    </a:stretch>
                  </pic:blipFill>
                  <pic:spPr>
                    <a:xfrm>
                      <a:off x="0" y="0"/>
                      <a:ext cx="3063240" cy="1940052"/>
                    </a:xfrm>
                    <a:prstGeom prst="rect"/>
                  </pic:spPr>
                </pic:pic>
              </a:graphicData>
            </a:graphic>
          </wp:inline>
        </w:drawing>
      </w:r>
    </w:p>
    <w:p>
      <w:pPr>
        <w:pStyle w:val="Caption"/>
        <w:ind w:firstLine="0"/>
      </w:pPr>
      <w:r>
        <w:rPr>
          <w:b w:val="0"/>
        </w:rPr>
        <w:t>Fig. 1. DEDA separates class acceptance from spatial specificity. Outputs are virtual commands, not measured vibrations.</w:t>
      </w:r>
    </w:p>
    <w:p>
      <w:pPr>
        <w:pStyle w:val="Caption"/>
        <w:keepNext/>
        <w:ind w:firstLine="0"/>
        <w:jc w:val="center"/>
      </w:pPr>
      <w:r>
        <w:rPr>
          <w:b w:val="0"/>
        </w:rPr>
        <w:t>TABLE I</w:t>
        <w:br/>
        <w:t>FROZEN POLICY PARAMETERS</w:t>
      </w:r>
    </w:p>
    <w:tbl>
      <w:tblPr>
        <w:tblW w:type="auto" w:w="0"/>
        <w:tblLayout w:type="fixed"/>
        <w:tblLook w:firstColumn="1" w:firstRow="1" w:lastColumn="0" w:lastRow="0" w:noHBand="0" w:noVBand="1" w:val="04A0"/>
      </w:tblPr>
      <w:tblGrid>
        <w:gridCol w:w="1728"/>
        <w:gridCol w:w="3168"/>
      </w:tblGrid>
      <w:tr>
        <w:trPr>
          <w:cantSplit/>
          <w:tblHeader/>
        </w:trPr>
        <w:tc>
          <w:tcPr>
            <w:tcW w:type="dxa" w:w="1728"/>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left"/>
            </w:pPr>
            <w:r>
              <w:rPr>
                <w:b/>
                <w:sz w:val="16"/>
              </w:rPr>
              <w:t>Parameter</w:t>
            </w:r>
          </w:p>
        </w:tc>
        <w:tc>
          <w:tcPr>
            <w:tcW w:type="dxa" w:w="3168"/>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left"/>
            </w:pPr>
            <w:r>
              <w:rPr>
                <w:b/>
                <w:sz w:val="16"/>
              </w:rPr>
              <w:t>Setting</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Hop; target; allowance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64 ms; 300 ms; 60 ms assumed</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Opening; clip; discount</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0.35; 4; 0.6</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Immediate thresholds</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1.25, 1.45, 1.65, 1.25</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Floor thresholds</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−0.15, 0.05, 0.25, −0.15</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Urgency thresholds</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2.25, 2.25, 2.45, 2.25</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Class margin; rejection</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0.5; −1.0</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Minimum / strong coherence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0.30 / 0.50</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Closure; norm; concentration</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≤0.75 sample; 0.6–1.4; ≥0.75</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Motor boundary band</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10°; single-motor audit uses 0°</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Release and reminder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0.20 for 3 windows; 8 s</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left"/>
            </w:pPr>
            <w:r>
              <w:rPr>
                <w:b w:val="0"/>
                <w:sz w:val="16"/>
              </w:rPr>
              <w:t>Direction updates</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left"/>
            </w:pPr>
            <w:r>
              <w:rPr>
                <w:b w:val="0"/>
                <w:sz w:val="16"/>
              </w:rPr>
              <w:t>60°; 1 s gap; EMA weight 0.5</w:t>
            </w:r>
          </w:p>
        </w:tc>
      </w:tr>
    </w:tbl>
    <w:p>
      <w:pPr>
        <w:spacing w:after="0" w:line="60" w:lineRule="exact"/>
      </w:pPr>
      <w:r>
        <w:rPr>
          <w:b w:val="0"/>
        </w:rPr>
      </w:r>
    </w:p>
    <w:p>
      <w:pPr>
        <w:pStyle w:val="Heading2"/>
      </w:pPr>
      <w:r>
        <w:t>Interactive demonstration interfaces</w:t>
      </w:r>
    </w:p>
    <w:p>
      <w:pPr/>
      <w:r>
        <w:t>A local Python-backed browser interface runs the existing acoustic and policy simulation. It replays the same synthetic microphone-1 samples as mono 16 kHz PCM with uniform clip-wide peak normalization. Sound includes the selected noise or reflection surrogate; class scores remain scripted. Replay speeds of 0.25×, 0.5×, 1× and 2× change both duration and pitch. Presentation mode compares the actual Baseline B and DEDA commands, explains waiting and fallback, and provides event-time jumps. Evidence plots show post-step scores, which can reset when an alert is emitted. Playback and motor animations are explanatory displays, not physical timing or haptic measurements.</w:t>
      </w:r>
    </w:p>
    <w:p>
      <w:pPr/>
      <w:r>
        <w:t>A supplementary Wokwi virtual ESP32 passes prepared observations through the existing C policy, with an OLED, five scenario buttons and four output LEDs. Default horn-behind, siren-left and missing-direction cases emit masks 4, 8 and 15 at model delays of 128, 64 and 192 ms; low-confidence and ambient cases emit no alert. These cases use the browser defaults rather than Table I’s research-study thresholds and are excluded from benchmark estimates. The replay sketch compiles for ESP32; it does not execute the complete audio-recognition pipeline or establish physical resource and timing feasibility.</w:t>
      </w:r>
    </w:p>
    <w:p>
      <w:pPr>
        <w:pStyle w:val="Heading1"/>
      </w:pPr>
      <w:r>
        <w:rPr>
          <w:b w:val="0"/>
        </w:rPr>
        <w:t>III. Expanded Evaluation Protocol</w:t>
      </w:r>
    </w:p>
    <w:p>
      <w:r>
        <w:rPr>
          <w:b w:val="0"/>
        </w:rPr>
        <w:t>The primary dataset contains 100 new pseudorandom streams, seeds 3001–3100, each 20 simulated minutes: 33.33 generated hours and 3,594 critical events. These replace neither the historical four-seed experiment nor the earlier 20-stream analysis; results are reported separately and are not pooled. All policies see identical windows within a stream. There is no classifier training, clip collection or real recording session. Independent seeds quantify variability within the generator, not diversity of actual environments.</w:t>
      </w:r>
    </w:p>
    <w:p>
      <w:r>
        <w:rPr>
          <w:b w:val="0"/>
        </w:rPr>
        <w:t>The fixed baseline threshold is 0.70. DEDA retains immediate thresholds (1.25, 1.45, 1.65, 1.25), floor thresholds (−0.15, 0.05, 0.25, −0.15), and urgency thresholds (2.25, 2.25, 2.45, 2.25), in horn/siren/shout/beep order. These derive from median historical calibration selections, distinct from the new seeds. All ablations retain the class thresholds. Runtime piloting and additional diagnostics do not retune the policy. The expanded analysis is not presented as a preregistered field trial.</w:t>
      </w:r>
    </w:p>
    <w:p>
      <w:r>
        <w:rPr>
          <w:b w:val="0"/>
        </w:rPr>
        <w:t>Events occur nominally twice per minute, last 0.6–3 s, and have uniform critical classes. The score model has a 192 ms onset ramp, AR(1) noise coefficient 0.5, logit-noise standard deviation 1 and 8% competing-class boosts. Three latent regimes have bad-direction probabilities 0.10, 0.25 and 0.45; they are not measured distances. By default 70% of bad observations explicitly fail a reliability check and 2% of directions are missing. Short and persistent ambient score confusers are included. These are chosen assumptions, not estimated error distributions.</w:t>
      </w:r>
    </w:p>
    <w:p>
      <w:r>
        <w:rPr>
          <w:b w:val="0"/>
        </w:rPr>
        <w:t>A emits a general warning after a fixed class threshold. B adds the raw single-window angle. G rejects a prospective alert if the same geometric gate fails; F instead emits an immediate general warning. Full DEDA adds episode evidence and waiting. Fixed-setting ablations remove all reliability, closure, norm, coherence acceptance, sequential evidence, direction waiting or fallback. A supplementary single-motor DEDA control sets the boundary band to zero, checking whether two-motor tolerance alone explains the directional gain.</w:t>
      </w:r>
    </w:p>
    <w:p>
      <w:r>
        <w:rPr>
          <w:b w:val="0"/>
        </w:rPr>
        <w:t>Seven synthetic stress conditions use 30 streams each (seeds 4001–4030): check sensitivities 0%, 35%, 100%; 64–250 ms bursts; score correlation 0.9; coherent 180° errors; and 20% missing directions. A separate 30-stream set (5001–5030) tests 150, 300 and 500 ms targets. The 340 condition–seed realizations represent 113.33 generated hours, not independent real recording sessions. Seeds are disjoint from historical calibration; thresholds are not retuned.</w:t>
      </w:r>
    </w:p>
    <w:p>
      <w:r>
        <w:rPr>
          <w:b w:val="0"/>
        </w:rPr>
        <w:t>A separate front-end study uses 4,200 synthetic 64 ms scenes at 16 kHz: seven conditions × three virtual triangle sides (25, 35, 50 mm) × two SNRs (20, 0 dB) × two source types × 50 seeds (6001–6050). Each scene is analyzed with all bins and strongest 25%, yielding 8,400 estimates. Both broadband and harmonic 420 Hz sources are tested at every seed direction, covering four cardinal directions with ±20° jitter. Layout, SNR and bin-choice comparisons reuse each seed’s source. This is not a natural-sound recognition dataset.</w:t>
      </w:r>
    </w:p>
    <w:p>
      <w:r>
        <w:rPr>
          <w:b w:val="0"/>
        </w:rPr>
        <w:t>Acoustic conditions comprise free field, an equal-amplitude source at +135°, a 0.7-gain delayed copy from +120° (12 ms), a +3-sample mic-3 offset, noise with 80% common variance, channel gains (1, 0.5, 0.25), and a five-direction cross-faded moving surrogate spanning 60° per frame. The last uses centre-angle truth and omits Doppler. Neither the delayed copy nor gain mismatch represents validated room reverberation or body shadowing.</w:t>
      </w:r>
    </w:p>
    <w:p>
      <w:pPr>
        <w:pStyle w:val="Heading1"/>
      </w:pPr>
      <w:r>
        <w:rPr>
          <w:b w:val="0"/>
        </w:rPr>
        <w:t>IV. Metrics and Statistical Analysis</w:t>
      </w:r>
    </w:p>
    <w:p>
      <w:r>
        <w:rPr>
          <w:b w:val="0"/>
        </w:rPr>
        <w:t>For non-overlapping generated events, the first non-update alert from onset to offset plus 500 ms defines the event outcome. Wrong-direction rate is wrong directional first alerts divided by all critical events; a motor set is correct when it includes the true quadrant. Missed-event rate is no associated first alert divided by all events. Missed-or-late rate counts no alert or latency above 300 ms. General-warning fraction uses detected events. Angular MAE averages wrapped error only over directional first detections. Simulated latency is alert timestamp minus generated onset; p50 and p95 are conditional on detection, not physical onset-to-vibration measurements.</w:t>
      </w:r>
    </w:p>
    <w:p>
      <w:r>
        <w:rPr>
          <w:b w:val="0"/>
        </w:rPr>
        <w:t>False alerts per ambient hour count unmatched non-update alerts; ambient exposure excludes event and 500 ms grace intervals. Additional alerts within an event are not false positives under this matcher. Wrong-class first alerts count as detections for timing, so correct-class and timely-correct-class detection are reported separately. Total notifications per total hour additionally count all non-update outputs, including within-event repetitions. Overlapping real events would require one-to-one class-aware matching. Conditional angle error must be read with directional coverage and fallback fraction.</w:t>
      </w:r>
    </w:p>
    <w:p>
      <w:r>
        <w:rPr>
          <w:b w:val="0"/>
        </w:rPr>
        <w:t>Primary point estimates are unweighted means of per-stream metrics. Ninety-five percent percentile intervals use 20,000 complete-stream bootstrap resamples, preserving within-stream dependence. Paired DEDA-minus-comparator differences use the same resample indices. Exploratory sign-flip tests use 100,000 assignments, a plus-one correction and the assumption of symmetric paired differences. Holm correction covers 16 contrasts: four metrics against B, G, F and no-direction-wait DEDA. Mean stream p95 is not pooled event p95. The acoustic bin comparison bootstraps 50 seed clusters, preserving layout/SNR dependence within a seed. Intervals are pointwise, not simultaneous guarantees across every result.</w:t>
      </w:r>
    </w:p>
    <w:p>
      <w:pPr>
        <w:pStyle w:val="Heading1"/>
      </w:pPr>
      <w:r>
        <w:rPr>
          <w:b w:val="0"/>
        </w:rPr>
        <w:t>V. Results and Component Analysis</w:t>
      </w:r>
    </w:p>
    <w:p>
      <w:pPr>
        <w:pStyle w:val="Caption"/>
        <w:keepNext/>
        <w:ind w:firstLine="0"/>
        <w:jc w:val="center"/>
      </w:pPr>
      <w:r>
        <w:rPr>
          <w:b w:val="0"/>
        </w:rPr>
        <w:t>TABLE II</w:t>
        <w:br/>
        <w:t>MEAN STREAM RATES WITH 95% INTERVALS</w:t>
      </w:r>
    </w:p>
    <w:tbl>
      <w:tblPr>
        <w:tblW w:type="auto" w:w="0"/>
        <w:tblLayout w:type="fixed"/>
        <w:tblLook w:firstColumn="1" w:firstRow="1" w:lastColumn="0" w:lastRow="0" w:noHBand="0" w:noVBand="1" w:val="04A0"/>
      </w:tblPr>
      <w:tblGrid>
        <w:gridCol w:w="720"/>
        <w:gridCol w:w="1368"/>
        <w:gridCol w:w="576"/>
        <w:gridCol w:w="1512"/>
        <w:gridCol w:w="720"/>
      </w:tblGrid>
      <w:tr>
        <w:trPr>
          <w:cantSplit/>
          <w:tblHeader/>
        </w:trPr>
        <w:tc>
          <w:tcPr>
            <w:tcW w:type="dxa" w:w="720"/>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left"/>
            </w:pPr>
            <w:r>
              <w:rPr>
                <w:b/>
                <w:sz w:val="16"/>
              </w:rPr>
              <w:t>Policy</w:t>
            </w:r>
          </w:p>
        </w:tc>
        <w:tc>
          <w:tcPr>
            <w:tcW w:type="dxa" w:w="1368"/>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Wrong % [CI]</w:t>
            </w:r>
          </w:p>
        </w:tc>
        <w:tc>
          <w:tcPr>
            <w:tcW w:type="dxa" w:w="576"/>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Miss %</w:t>
            </w:r>
          </w:p>
        </w:tc>
        <w:tc>
          <w:tcPr>
            <w:tcW w:type="dxa" w:w="1512"/>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Miss/late % [CI]</w:t>
            </w:r>
          </w:p>
        </w:tc>
        <w:tc>
          <w:tcPr>
            <w:tcW w:type="dxa" w:w="720"/>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General %</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A</w:t>
            </w:r>
          </w:p>
        </w:tc>
        <w:tc>
          <w:tcPr>
            <w:tcW w:type="dxa" w:w="13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0.00 [0.00, 0.00]</w:t>
            </w:r>
          </w:p>
        </w:tc>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0.17</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10.2 [8.9, 11.5]</w:t>
            </w:r>
          </w:p>
        </w:tc>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100.0</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B</w:t>
            </w:r>
          </w:p>
        </w:tc>
        <w:tc>
          <w:tcPr>
            <w:tcW w:type="dxa" w:w="13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20.31 [18.98, 21.62]</w:t>
            </w:r>
          </w:p>
        </w:tc>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0.17</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10.2 [8.9, 11.5]</w:t>
            </w:r>
          </w:p>
        </w:tc>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1.4</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G</w:t>
            </w:r>
          </w:p>
        </w:tc>
        <w:tc>
          <w:tcPr>
            <w:tcW w:type="dxa" w:w="13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9.16 [8.26, 10.07]</w:t>
            </w:r>
          </w:p>
        </w:tc>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0.22</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15.0 [13.7, 16.5]</w:t>
            </w:r>
          </w:p>
        </w:tc>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0.0</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F</w:t>
            </w:r>
          </w:p>
        </w:tc>
        <w:tc>
          <w:tcPr>
            <w:tcW w:type="dxa" w:w="13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6.83 [6.09, 7.58]</w:t>
            </w:r>
          </w:p>
        </w:tc>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0.17</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10.2 [8.9, 11.5]</w:t>
            </w:r>
          </w:p>
        </w:tc>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19.6</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left"/>
            </w:pPr>
            <w:r>
              <w:rPr>
                <w:b w:val="0"/>
                <w:sz w:val="16"/>
              </w:rPr>
              <w:t>DEDA</w:t>
            </w:r>
          </w:p>
        </w:tc>
        <w:tc>
          <w:tcPr>
            <w:tcW w:type="dxa" w:w="13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2.45 [1.93, 3.01]</w:t>
            </w:r>
          </w:p>
        </w:tc>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0.17</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15.3 [14.0, 16.7]</w:t>
            </w:r>
          </w:p>
        </w:tc>
        <w:tc>
          <w:tcPr>
            <w:tcW w:type="dxa" w:w="7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14.1</w:t>
            </w:r>
          </w:p>
        </w:tc>
      </w:tr>
    </w:tbl>
    <w:p>
      <w:pPr>
        <w:spacing w:after="0" w:line="60" w:lineRule="exact"/>
      </w:pPr>
      <w:r>
        <w:rPr>
          <w:b w:val="0"/>
        </w:rPr>
      </w:r>
    </w:p>
    <w:p>
      <w:r>
        <w:rPr>
          <w:b w:val="0"/>
        </w:rPr>
        <w:t>DEDA gives 2.45 [1.93, 3.01]% wrong-direction events, versus 20.31 [18.98, 21.62]% for B. The paired difference is -17.86 [-19.19, -16.52] percentage points. Missed-or-late events increase by +5.12 [+4.12, +6.16] points; both primary contrasts have Holm-adjusted p &lt; 0.001. The directional reduction is supported within this generator, but equivalent timeliness is not. A two-point non-inferiority margin is not supported.</w:t>
      </w:r>
    </w:p>
    <w:p>
      <w:r>
        <w:rPr>
          <w:b w:val="0"/>
        </w:rPr>
        <w:t>Against immediate fallback F, DEDA reduces wrong direction by 4.38 points but increases missed-or-late events by 5.12 points. General warnings are 14.1% of DEDA detections and 19.6% for F. G has fewer false alerts but withholds more warnings. A has zero wrong directions by construction because it never provides a direction. No policy can be ranked from wrong-direction percentage alone.</w:t>
      </w:r>
    </w:p>
    <w:p>
      <w:pPr>
        <w:pStyle w:val="Caption"/>
        <w:keepNext/>
        <w:ind w:firstLine="0"/>
        <w:jc w:val="center"/>
      </w:pPr>
      <w:r>
        <w:rPr>
          <w:b w:val="0"/>
        </w:rPr>
        <w:t>TABLE III</w:t>
        <w:br/>
        <w:t>DIRECTION DIAGNOSTICS AND SIMULATED LATENCY</w:t>
      </w:r>
    </w:p>
    <w:tbl>
      <w:tblPr>
        <w:tblW w:type="auto" w:w="0"/>
        <w:tblLayout w:type="fixed"/>
        <w:tblLook w:firstColumn="1" w:firstRow="1" w:lastColumn="0" w:lastRow="0" w:noHBand="0" w:noVBand="1" w:val="04A0"/>
      </w:tblPr>
      <w:tblGrid>
        <w:gridCol w:w="576"/>
        <w:gridCol w:w="835"/>
        <w:gridCol w:w="691"/>
        <w:gridCol w:w="1382"/>
        <w:gridCol w:w="1411"/>
      </w:tblGrid>
      <w:tr>
        <w:trPr>
          <w:cantSplit/>
          <w:tblHeader/>
        </w:trPr>
        <w:tc>
          <w:tcPr>
            <w:tcW w:type="dxa" w:w="576"/>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left"/>
            </w:pPr>
            <w:r>
              <w:rPr>
                <w:b/>
                <w:sz w:val="16"/>
              </w:rPr>
              <w:t>Policy</w:t>
            </w:r>
          </w:p>
        </w:tc>
        <w:tc>
          <w:tcPr>
            <w:tcW w:type="dxa" w:w="835"/>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False/h</w:t>
            </w:r>
          </w:p>
        </w:tc>
        <w:tc>
          <w:tcPr>
            <w:tcW w:type="dxa" w:w="691"/>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MAE °</w:t>
            </w:r>
          </w:p>
        </w:tc>
        <w:tc>
          <w:tcPr>
            <w:tcW w:type="dxa" w:w="1382"/>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p50/p95 ms</w:t>
            </w:r>
          </w:p>
        </w:tc>
        <w:tc>
          <w:tcPr>
            <w:tcW w:type="dxa" w:w="1411"/>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Wrong/DIR %</w:t>
            </w:r>
          </w:p>
        </w:tc>
      </w:tr>
      <w:tr>
        <w:trPr>
          <w:cantSplit/>
        </w:trPr>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B</w:t>
            </w:r>
          </w:p>
        </w:tc>
        <w:tc>
          <w:tcPr>
            <w:tcW w:type="dxa" w:w="83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306.4</w:t>
            </w:r>
          </w:p>
        </w:tc>
        <w:tc>
          <w:tcPr>
            <w:tcW w:type="dxa" w:w="69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33.0</w:t>
            </w:r>
          </w:p>
        </w:tc>
        <w:tc>
          <w:tcPr>
            <w:tcW w:type="dxa" w:w="138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167/369</w:t>
            </w:r>
          </w:p>
        </w:tc>
        <w:tc>
          <w:tcPr>
            <w:tcW w:type="dxa" w:w="141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20.6</w:t>
            </w:r>
          </w:p>
        </w:tc>
      </w:tr>
      <w:tr>
        <w:trPr>
          <w:cantSplit/>
        </w:trPr>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G</w:t>
            </w:r>
          </w:p>
        </w:tc>
        <w:tc>
          <w:tcPr>
            <w:tcW w:type="dxa" w:w="83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129.2</w:t>
            </w:r>
          </w:p>
        </w:tc>
        <w:tc>
          <w:tcPr>
            <w:tcW w:type="dxa" w:w="69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21.4</w:t>
            </w:r>
          </w:p>
        </w:tc>
        <w:tc>
          <w:tcPr>
            <w:tcW w:type="dxa" w:w="138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181/425</w:t>
            </w:r>
          </w:p>
        </w:tc>
        <w:tc>
          <w:tcPr>
            <w:tcW w:type="dxa" w:w="141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9.2</w:t>
            </w:r>
          </w:p>
        </w:tc>
      </w:tr>
      <w:tr>
        <w:trPr>
          <w:cantSplit/>
        </w:trPr>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F</w:t>
            </w:r>
          </w:p>
        </w:tc>
        <w:tc>
          <w:tcPr>
            <w:tcW w:type="dxa" w:w="83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306.4</w:t>
            </w:r>
          </w:p>
        </w:tc>
        <w:tc>
          <w:tcPr>
            <w:tcW w:type="dxa" w:w="69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20.6</w:t>
            </w:r>
          </w:p>
        </w:tc>
        <w:tc>
          <w:tcPr>
            <w:tcW w:type="dxa" w:w="138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167/369</w:t>
            </w:r>
          </w:p>
        </w:tc>
        <w:tc>
          <w:tcPr>
            <w:tcW w:type="dxa" w:w="141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8.5</w:t>
            </w:r>
          </w:p>
        </w:tc>
      </w:tr>
      <w:tr>
        <w:trPr>
          <w:cantSplit/>
        </w:trPr>
        <w:tc>
          <w:tcPr>
            <w:tcW w:type="dxa" w:w="5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left"/>
            </w:pPr>
            <w:r>
              <w:rPr>
                <w:b w:val="0"/>
                <w:sz w:val="16"/>
              </w:rPr>
              <w:t>DEDA</w:t>
            </w:r>
          </w:p>
        </w:tc>
        <w:tc>
          <w:tcPr>
            <w:tcW w:type="dxa" w:w="83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286.8</w:t>
            </w:r>
          </w:p>
        </w:tc>
        <w:tc>
          <w:tcPr>
            <w:tcW w:type="dxa" w:w="69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13.7</w:t>
            </w:r>
          </w:p>
        </w:tc>
        <w:tc>
          <w:tcPr>
            <w:tcW w:type="dxa" w:w="138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198/413</w:t>
            </w:r>
          </w:p>
        </w:tc>
        <w:tc>
          <w:tcPr>
            <w:tcW w:type="dxa" w:w="1411"/>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2.8</w:t>
            </w:r>
          </w:p>
        </w:tc>
      </w:tr>
    </w:tbl>
    <w:p>
      <w:pPr>
        <w:spacing w:after="0" w:line="60" w:lineRule="exact"/>
      </w:pPr>
      <w:r>
        <w:rPr>
          <w:b w:val="0"/>
        </w:rPr>
      </w:r>
    </w:p>
    <w:p>
      <w:r>
        <w:rPr>
          <w:b w:val="0"/>
        </w:rPr>
        <w:t>DEDA’s false-alert rate is 286.8 [281.7, 291.8]/ambient h, compared with 306.4/h for B. Although the paired reduction is statistically detectable here, roughly one false alert every 12.6 simulated ambient seconds remains unsuitable evidence of acceptable notification burden. Correct-class detection is 94.2%; timely correct-class detection is 80.2%. Neither is measured real-audio recognition accuracy.</w:t>
      </w:r>
    </w:p>
    <w:p>
      <w:r>
        <w:rPr>
          <w:b w:val="0"/>
        </w:rPr>
        <w:t>The historical 23.5% to 2.7% reduction came from four synthetic test streams; it is not a real-wearable result and is not substituted for the expanded estimates. The new main sample has nonzero missed-event rates. All rates in Tables II–IV are means over the same 100 streams, not pooled event rates.</w:t>
      </w:r>
    </w:p>
    <w:p>
      <w:pPr>
        <w:pStyle w:val="Caption"/>
        <w:keepNext/>
        <w:ind w:firstLine="0"/>
        <w:jc w:val="center"/>
      </w:pPr>
      <w:r>
        <w:rPr>
          <w:b w:val="0"/>
        </w:rPr>
        <w:t>TABLE IV</w:t>
        <w:br/>
        <w:t>FIXED-SETTING COMPONENT ABLATIONS</w:t>
      </w:r>
    </w:p>
    <w:tbl>
      <w:tblPr>
        <w:tblW w:type="auto" w:w="0"/>
        <w:tblLayout w:type="fixed"/>
        <w:tblLook w:firstColumn="1" w:firstRow="1" w:lastColumn="0" w:lastRow="0" w:noHBand="0" w:noVBand="1" w:val="04A0"/>
      </w:tblPr>
      <w:tblGrid>
        <w:gridCol w:w="1555"/>
        <w:gridCol w:w="734"/>
        <w:gridCol w:w="994"/>
        <w:gridCol w:w="850"/>
        <w:gridCol w:w="763"/>
      </w:tblGrid>
      <w:tr>
        <w:trPr>
          <w:cantSplit/>
          <w:tblHeader/>
        </w:trPr>
        <w:tc>
          <w:tcPr>
            <w:tcW w:type="dxa" w:w="1555"/>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left"/>
            </w:pPr>
            <w:r>
              <w:rPr>
                <w:b/>
                <w:sz w:val="16"/>
              </w:rPr>
              <w:t>Variant</w:t>
            </w:r>
          </w:p>
        </w:tc>
        <w:tc>
          <w:tcPr>
            <w:tcW w:type="dxa" w:w="734"/>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Wrong %</w:t>
            </w:r>
          </w:p>
        </w:tc>
        <w:tc>
          <w:tcPr>
            <w:tcW w:type="dxa" w:w="994"/>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Miss/late %</w:t>
            </w:r>
          </w:p>
        </w:tc>
        <w:tc>
          <w:tcPr>
            <w:tcW w:type="dxa" w:w="850"/>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False/h</w:t>
            </w:r>
          </w:p>
        </w:tc>
        <w:tc>
          <w:tcPr>
            <w:tcW w:type="dxa" w:w="763"/>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General %</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DEDA</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2.45</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15.3</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286.8</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14.1</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No reliability</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7.96</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14.5</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287.2</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17.9</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No closure</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4.02</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15.2</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286.8</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16.3</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No norm</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3.49</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15.1</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286.8</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15.8</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No coherence</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6.48</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14.5</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286.9</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9.5</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No sequential</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3.04</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4.1</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1781.8</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31.2</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No direction wait</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2.05</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13.9</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287.3</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21.0</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No fallback</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3.25</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21.4</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90.3</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0.0</w:t>
            </w:r>
          </w:p>
        </w:tc>
      </w:tr>
      <w:tr>
        <w:trPr>
          <w:cantSplit/>
        </w:trPr>
        <w:tc>
          <w:tcPr>
            <w:tcW w:type="dxa" w:w="155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left"/>
            </w:pPr>
            <w:r>
              <w:rPr>
                <w:b w:val="0"/>
                <w:sz w:val="16"/>
              </w:rPr>
              <w:t>Single motor DEDA</w:t>
            </w:r>
          </w:p>
        </w:tc>
        <w:tc>
          <w:tcPr>
            <w:tcW w:type="dxa" w:w="73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3.02</w:t>
            </w:r>
          </w:p>
        </w:tc>
        <w:tc>
          <w:tcPr>
            <w:tcW w:type="dxa" w:w="99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15.3</w:t>
            </w:r>
          </w:p>
        </w:tc>
        <w:tc>
          <w:tcPr>
            <w:tcW w:type="dxa" w:w="85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286.8</w:t>
            </w:r>
          </w:p>
        </w:tc>
        <w:tc>
          <w:tcPr>
            <w:tcW w:type="dxa" w:w="763"/>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14.1</w:t>
            </w:r>
          </w:p>
        </w:tc>
      </w:tr>
    </w:tbl>
    <w:p>
      <w:pPr>
        <w:spacing w:after="0" w:line="60" w:lineRule="exact"/>
      </w:pPr>
      <w:r>
        <w:rPr>
          <w:b w:val="0"/>
        </w:rPr>
      </w:r>
    </w:p>
    <w:p>
      <w:r>
        <w:rPr>
          <w:b w:val="0"/>
        </w:rPr>
        <w:t>Removing reliability increases wrong-direction events from 2.45% to 7.96%. Removing closure, norm or coherence acceptance also increases errors. However, the generator explicitly constructs failed checks, favoring such gates. No reliability also switches aggregation to unit weights; no coherence retains coherence weights; no sequential also removes the waiting opportunity. These are operational ablations, not perfect isolation of one arithmetic term.</w:t>
      </w:r>
    </w:p>
    <w:p>
      <w:r>
        <w:rPr>
          <w:b w:val="0"/>
        </w:rPr>
        <w:t>No-direction-wait DEDA gives 2.05% wrong-direction and 13.86% missed-or-late events, both below full DEDA, but general warnings rise to 21.0%. Full DEDA is therefore not uniformly beneficial. Removing sequential evidence lowers missed-or-late events to 4.1% but raises false alerts to 1781.8/h. Removing fallback increases missed-or-late events to 21.4% while lowering false alerts partly by refusing alerts.</w:t>
      </w:r>
    </w:p>
    <w:p>
      <w:r>
        <w:rPr>
          <w:b w:val="0"/>
        </w:rPr>
        <w:t>The single-motor DEDA audit gives 3.02% wrong-direction events versus 2.45% with the boundary pair. Misses, timing and angular estimates are unchanged. Allowing two motors explains part of the motor-set gain, but does not explain the entire difference from B. This supplementary diagnostic was added without retuning and is not included in the 16-contrast significance family.</w:t>
      </w:r>
    </w:p>
    <w:p>
      <w:pPr>
        <w:pStyle w:val="Caption"/>
        <w:keepNext/>
        <w:ind w:firstLine="0"/>
        <w:jc w:val="center"/>
      </w:pPr>
      <w:r>
        <w:rPr>
          <w:b w:val="0"/>
        </w:rPr>
        <w:t>TABLE V</w:t>
        <w:br/>
        <w:t>PAIRED ACOUSTIC ERRORS AND GATE COVERAGE</w:t>
      </w:r>
    </w:p>
    <w:tbl>
      <w:tblPr>
        <w:tblW w:type="auto" w:w="0"/>
        <w:tblLayout w:type="fixed"/>
        <w:tblLook w:firstColumn="1" w:firstRow="1" w:lastColumn="0" w:lastRow="0" w:noHBand="0" w:noVBand="1" w:val="04A0"/>
      </w:tblPr>
      <w:tblGrid>
        <w:gridCol w:w="1627"/>
        <w:gridCol w:w="1195"/>
        <w:gridCol w:w="1008"/>
        <w:gridCol w:w="1066"/>
      </w:tblGrid>
      <w:tr>
        <w:trPr>
          <w:cantSplit/>
          <w:tblHeader/>
        </w:trPr>
        <w:tc>
          <w:tcPr>
            <w:tcW w:type="dxa" w:w="1627"/>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left"/>
            </w:pPr>
            <w:r>
              <w:rPr>
                <w:b/>
                <w:sz w:val="16"/>
              </w:rPr>
              <w:t>Condition</w:t>
            </w:r>
          </w:p>
        </w:tc>
        <w:tc>
          <w:tcPr>
            <w:tcW w:type="dxa" w:w="1195"/>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Wrong all/top %</w:t>
            </w:r>
          </w:p>
        </w:tc>
        <w:tc>
          <w:tcPr>
            <w:tcW w:type="dxa" w:w="1008"/>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Top gate coverage %</w:t>
            </w:r>
          </w:p>
        </w:tc>
        <w:tc>
          <w:tcPr>
            <w:tcW w:type="dxa" w:w="1066"/>
            <w:vAlign w:val="center"/>
            <w:tcBorders>
              <w:top w:val="single" w:sz="4" w:color="D9D9D9"/>
              <w:left w:val="single" w:sz="4" w:color="D9D9D9"/>
              <w:bottom w:val="single" w:sz="4" w:color="D9D9D9"/>
              <w:right w:val="single" w:sz="4" w:color="D9D9D9"/>
            </w:tcBorders>
            <w:shd w:fill="EDEDED"/>
            <w:tcMar>
              <w:top w:w="55" w:type="dxa"/>
              <w:bottom w:w="55" w:type="dxa"/>
              <w:left w:w="55" w:type="dxa"/>
              <w:right w:w="55" w:type="dxa"/>
            </w:tcMar>
          </w:tcPr>
          <w:p>
            <w:pPr>
              <w:keepNext/>
              <w:spacing w:after="0" w:line="240" w:lineRule="auto"/>
              <w:ind w:firstLine="0"/>
              <w:jc w:val="center"/>
            </w:pPr>
            <w:r>
              <w:rPr>
                <w:b/>
                <w:sz w:val="16"/>
              </w:rPr>
              <w:t>Wrong/valid top %</w:t>
            </w:r>
          </w:p>
        </w:tc>
      </w:tr>
      <w:tr>
        <w:trPr>
          <w:cantSplit/>
        </w:trPr>
        <w:tc>
          <w:tcPr>
            <w:tcW w:type="dxa" w:w="1627"/>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Clean</w:t>
            </w:r>
          </w:p>
        </w:tc>
        <w:tc>
          <w:tcPr>
            <w:tcW w:type="dxa" w:w="119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7.7/2.3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74.0</w:t>
            </w:r>
          </w:p>
        </w:tc>
        <w:tc>
          <w:tcPr>
            <w:tcW w:type="dxa" w:w="106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0.0</w:t>
            </w:r>
          </w:p>
        </w:tc>
      </w:tr>
      <w:tr>
        <w:trPr>
          <w:cantSplit/>
        </w:trPr>
        <w:tc>
          <w:tcPr>
            <w:tcW w:type="dxa" w:w="1627"/>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Competing source</w:t>
            </w:r>
          </w:p>
        </w:tc>
        <w:tc>
          <w:tcPr>
            <w:tcW w:type="dxa" w:w="119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76.5/76.7</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71.5</w:t>
            </w:r>
          </w:p>
        </w:tc>
        <w:tc>
          <w:tcPr>
            <w:tcW w:type="dxa" w:w="106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83.4</w:t>
            </w:r>
          </w:p>
        </w:tc>
      </w:tr>
      <w:tr>
        <w:trPr>
          <w:cantSplit/>
        </w:trPr>
        <w:tc>
          <w:tcPr>
            <w:tcW w:type="dxa" w:w="1627"/>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Reflection surrogate</w:t>
            </w:r>
          </w:p>
        </w:tc>
        <w:tc>
          <w:tcPr>
            <w:tcW w:type="dxa" w:w="119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34.7/16.0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66.2</w:t>
            </w:r>
          </w:p>
        </w:tc>
        <w:tc>
          <w:tcPr>
            <w:tcW w:type="dxa" w:w="106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1.5</w:t>
            </w:r>
          </w:p>
        </w:tc>
      </w:tr>
      <w:tr>
        <w:trPr>
          <w:cantSplit/>
        </w:trPr>
        <w:tc>
          <w:tcPr>
            <w:tcW w:type="dxa" w:w="1627"/>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Clock offset</w:t>
            </w:r>
          </w:p>
        </w:tc>
        <w:tc>
          <w:tcPr>
            <w:tcW w:type="dxa" w:w="119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72.0/76.3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19.5</w:t>
            </w:r>
          </w:p>
        </w:tc>
        <w:tc>
          <w:tcPr>
            <w:tcW w:type="dxa" w:w="106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100.0</w:t>
            </w:r>
          </w:p>
        </w:tc>
      </w:tr>
      <w:tr>
        <w:trPr>
          <w:cantSplit/>
        </w:trPr>
        <w:tc>
          <w:tcPr>
            <w:tcW w:type="dxa" w:w="1627"/>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Correlated microphone noise</w:t>
            </w:r>
          </w:p>
        </w:tc>
        <w:tc>
          <w:tcPr>
            <w:tcW w:type="dxa" w:w="119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16.5/2.8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37.7</w:t>
            </w:r>
          </w:p>
        </w:tc>
        <w:tc>
          <w:tcPr>
            <w:tcW w:type="dxa" w:w="106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0.0</w:t>
            </w:r>
          </w:p>
        </w:tc>
      </w:tr>
      <w:tr>
        <w:trPr>
          <w:cantSplit/>
        </w:trPr>
        <w:tc>
          <w:tcPr>
            <w:tcW w:type="dxa" w:w="1627"/>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left"/>
            </w:pPr>
            <w:r>
              <w:rPr>
                <w:b w:val="0"/>
                <w:sz w:val="16"/>
              </w:rPr>
              <w:t>Gain mismatch</w:t>
            </w:r>
          </w:p>
        </w:tc>
        <w:tc>
          <w:tcPr>
            <w:tcW w:type="dxa" w:w="119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19.5/11.0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49.5</w:t>
            </w:r>
          </w:p>
        </w:tc>
        <w:tc>
          <w:tcPr>
            <w:tcW w:type="dxa" w:w="106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spacing w:after="0" w:line="240" w:lineRule="auto"/>
              <w:ind w:firstLine="0"/>
              <w:jc w:val="center"/>
            </w:pPr>
            <w:r>
              <w:rPr>
                <w:b w:val="0"/>
                <w:sz w:val="16"/>
              </w:rPr>
              <w:t>0.0</w:t>
            </w:r>
          </w:p>
        </w:tc>
      </w:tr>
      <w:tr>
        <w:trPr>
          <w:cantSplit/>
        </w:trPr>
        <w:tc>
          <w:tcPr>
            <w:tcW w:type="dxa" w:w="1627"/>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left"/>
            </w:pPr>
            <w:r>
              <w:rPr>
                <w:b w:val="0"/>
                <w:sz w:val="16"/>
              </w:rPr>
              <w:t>Moving surrogate</w:t>
            </w:r>
          </w:p>
        </w:tc>
        <w:tc>
          <w:tcPr>
            <w:tcW w:type="dxa" w:w="1195"/>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10.2/1.3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74.2</w:t>
            </w:r>
          </w:p>
        </w:tc>
        <w:tc>
          <w:tcPr>
            <w:tcW w:type="dxa" w:w="106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tcPr>
          <w:p>
            <w:pPr>
              <w:keepNext w:val="0"/>
              <w:spacing w:after="0" w:line="240" w:lineRule="auto"/>
              <w:ind w:firstLine="0"/>
              <w:jc w:val="center"/>
            </w:pPr>
            <w:r>
              <w:rPr>
                <w:b w:val="0"/>
                <w:sz w:val="16"/>
              </w:rPr>
              <w:t>0.0</w:t>
            </w:r>
          </w:p>
        </w:tc>
      </w:tr>
    </w:tbl>
    <w:p>
      <w:pPr>
        <w:spacing w:after="0" w:line="60" w:lineRule="exact"/>
      </w:pPr>
      <w:r>
        <w:rPr>
          <w:b w:val="0"/>
        </w:rPr>
      </w:r>
    </w:p>
    <w:p>
      <w:r>
        <w:rPr>
          <w:b w:val="0"/>
        </w:rPr>
        <w:t>In clean scenes, wrong-quadrant estimates decrease from 7.7% with all bins to 2.3% with strongest bins. The paired change is -5.3 points (95% cluster interval -8.5 to -2.3). This benefit is not universal: competing-source estimates are wrong in 76.7% of strongest-bin scenes. Among gate-valid competing-source estimates, 83.4% are wrong. All gate-valid clock-offset estimates are wrong in this constructed test. Passing a gate cannot certify the target direction.</w:t>
      </w:r>
    </w:p>
    <w:p>
      <w:r>
        <w:rPr>
          <w:b w:val="0"/>
        </w:rPr>
        <w:t>With zero explicitly flagged bad observations, DEDA wrong-direction events are 6.6%; with all bad observations flagged they are 0.08%. The coherent 180° stress gives 99.7% wrong-direction events despite closure zero, norm one and coherence 0.9. Short bursts give 63.3% missed-or-late events. These are deliberate counterexamples, not estimates of real reflection or burst frequencies. Correlated class-score noise and correlated microphone noise are distinct experiments.</w:t>
      </w:r>
    </w:p>
    <w:p>
      <w:r>
        <w:rPr>
          <w:b w:val="0"/>
        </w:rPr>
        <w:t>These acoustic results use the target source as ground truth even when a competing source dominates the estimate. They report errors for all scenes, acceptance coverage and errors among accepted directions separately. The within-seed bin comparison is paired, but no cross-condition contrast is presented as a causal estimate of a physical environment. More trials do not correct the gate-failure assumptions in the decision generator.</w:t>
      </w:r>
    </w:p>
    <w:p>
      <w:pPr>
        <w:pStyle w:val="Heading1"/>
      </w:pPr>
      <w:r>
        <w:rPr>
          <w:b w:val="0"/>
        </w:rPr>
        <w:t>VI. Deadline Interpretation and Limitations</w:t>
      </w:r>
    </w:p>
    <w:p>
      <w:r>
        <w:rPr>
          <w:b w:val="0"/>
        </w:rPr>
        <w:t>DEDA’s mean stream p95 simulated latency is 413.1 [395.7, 430.9] ms, exceeding the 300 ms reference. In the event-level records, 542 first alerts are late; 314 have final-episode opening timestamps already beyond 300 ms and 435 have at least one within-episode evidence hop. The categories overlap and do not uniquely identify causes. Delayed score opening, rejection/reopening, suppression and evidence waiting can contribute. The no-wait ablation is a paired counterfactual, not proof of a measured physical speedup.</w:t>
      </w:r>
    </w:p>
    <w:p>
      <w:r>
        <w:rPr>
          <w:b w:val="0"/>
        </w:rPr>
        <w:t>On the separate deadline set, 150 ms gives K = 0 and 36.5% missed-or-late events at that target, with 1765 false alerts/h. A 500 ms target gives 6.0% missed-or-late at 500 ms but 24.3% at a fixed 300 ms criterion. These results do not establish that reliability checks preserve timely warnings or justify 300 ms as a user requirement.</w:t>
      </w:r>
    </w:p>
    <w:p>
      <w:r>
        <w:rPr>
          <w:b w:val="0"/>
        </w:rPr>
        <w:t>The dataset is synthetic and its error distributions are assumed. Repetition across more seeds reduces sampling uncertainty but not model bias. The acoustic generator uses ideal fractional delays and does not include measured room responses, body shadowing, microphone transfer functions or physical capture jitter. The moving surrogate is a simplified signal mixture. No learned recognition model is evaluated, so generated class-score results cannot establish recognition accuracy. No component has demonstrated benefit on held-out wearable recordings.</w:t>
      </w:r>
    </w:p>
    <w:p>
      <w:r>
        <w:t>There is no physical RP2040/ESP32 full-pipeline evaluation, measured peak memory/energy or worst-case timing, motor-activation trace, usability study or demonstrated safety benefit. Wokwi replays only prepared policy inputs; the 60 ms allowance remains assumed. No participants or ethics approval are claimed. Real recording sessions, room/body models, target-board profiling and ethically approved cue evaluation remain future work.</w:t>
      </w:r>
    </w:p>
    <w:p>
      <w:pPr>
        <w:pStyle w:val="Heading1"/>
      </w:pPr>
      <w:r>
        <w:rPr>
          <w:b w:val="0"/>
        </w:rPr>
        <w:t>VII. Conclusion</w:t>
      </w:r>
    </w:p>
    <w:p>
      <w:r>
        <w:rPr>
          <w:b w:val="0"/>
        </w:rPr>
        <w:t>This simulation study evaluates DEDA as a policy for separating class acceptance from spatial specificity. Expanded held-out streams support fewer wrong-direction first alerts than raw-angle fusion, but show additional lateness and substantial false-alert burden. Simple fallback and no-direction-wait variants remain strong alternatives. Paired acoustic tests reveal incorrect-but-consistent localization estimates. The contribution is a reproducible analysis of these trade-offs, not a validated wearable or universally superior alerting system.</w:t>
      </w:r>
    </w:p>
    <w:p>
      <w:pPr>
        <w:pStyle w:val="Heading1"/>
      </w:pPr>
      <w:r>
        <w:rPr>
          <w:b w:val="0"/>
        </w:rPr>
        <w:t>Reproducibility and Declarations</w:t>
      </w:r>
    </w:p>
    <w:p>
      <w:pPr>
        <w:jc w:val="left"/>
      </w:pPr>
      <w:r>
        <w:t>An accompanying reproducibility archive contains fixed settings, source, per-stream results, 46,722 event-policy outcome rows, 8,400 acoustic estimates and checksums. Run final_simulation_study.py, then supplement_simulation_study.py; test_final_study.py checks added metric diagnostics. The numerical study specifies Python 3.12 and NumPy 2.3.5. Browser replay is launched locally with python python/simulator_server.py --port 8766, then http://127.0.0.1:8766. Current demonstration source is in simulator/ and wokwi/; no public deployment is claimed. Bootstrap/sign-flip seed ranges and all thresholds are in the supplied JSON and full report. These local files have no asserted archival DOI. The authors thank Dr. Jayachandran J, VIT, for supervision. No specific grant funding or competing interests are reported.</w:t>
      </w:r>
    </w:p>
    <w:p>
      <w:pPr>
        <w:pStyle w:val="Heading1"/>
      </w:pPr>
      <w:r>
        <w:rPr>
          <w:b w:val="0"/>
        </w:rPr>
        <w:t>References</w:t>
      </w:r>
    </w:p>
    <w:p>
      <w:pPr>
        <w:keepLines/>
        <w:spacing w:line="240" w:lineRule="auto" w:after="80"/>
        <w:ind w:left="216" w:hanging="216"/>
        <w:jc w:val="left"/>
      </w:pPr>
      <w:r>
        <w:rPr>
          <w:b w:val="0"/>
          <w:sz w:val="17"/>
        </w:rPr>
        <w:t>[1] J. Z. Huang, H. Chhabria, and D. Jain, “Not There Yet: Feasibility and Challenges of Mobile Sound Recognition to Support Deaf and Hard-of-Hearing People,” ASSETS, 2023. doi:10.1145/3597638.3608431. https://zjhuang2.github.io/paper/ASSETS23-SWFieldStudy.pdf</w:t>
      </w:r>
    </w:p>
    <w:p>
      <w:pPr>
        <w:keepLines/>
        <w:spacing w:line="240" w:lineRule="auto" w:after="80"/>
        <w:ind w:left="216" w:hanging="216"/>
        <w:jc w:val="left"/>
      </w:pPr>
      <w:r>
        <w:rPr>
          <w:b w:val="0"/>
          <w:sz w:val="17"/>
        </w:rPr>
        <w:t>[2] S. M. Goodman, E. J. McDonnell, J. E. Froehlich, and L. Findlater, “SPECTRA: Personalizable Sound Recognition for Deaf and Hard of Hearing Users through Interactive Machine Learning,” CHI, 2025. doi:10.1145/3706598.3713294.</w:t>
      </w:r>
    </w:p>
    <w:p>
      <w:pPr>
        <w:keepLines/>
        <w:spacing w:line="240" w:lineRule="auto" w:after="80"/>
        <w:ind w:left="216" w:hanging="216"/>
        <w:jc w:val="left"/>
      </w:pPr>
      <w:r>
        <w:rPr>
          <w:b w:val="0"/>
          <w:sz w:val="17"/>
        </w:rPr>
        <w:t>[3] P. K. Chelladurai, Z. Li, M. Weber, T. Oh, and R. L. Peiris, “SoundHapticVR: Head-Based Spatial Haptic Feedback for Accessible Sounds in Virtual Reality for Deaf and Hard of Hearing Users,” ASSETS, 2024. doi:10.1145/3663548.3675639.</w:t>
      </w:r>
    </w:p>
    <w:p>
      <w:pPr>
        <w:keepLines/>
        <w:spacing w:line="240" w:lineRule="auto" w:after="80"/>
        <w:ind w:left="216" w:hanging="216"/>
        <w:jc w:val="left"/>
      </w:pPr>
      <w:r>
        <w:rPr>
          <w:b w:val="0"/>
          <w:sz w:val="17"/>
        </w:rPr>
        <w:t>[4] C. H. Knapp and G. C. Carter, “The Generalized Correlation Method for Estimation of Time Delay,” IEEE Transactions on Acoustics, Speech, and Signal Processing, 24(4), 320–327, 1976. doi:10.1109/TASSP.1976.1162830.</w:t>
      </w:r>
    </w:p>
    <w:p>
      <w:pPr>
        <w:keepLines/>
        <w:spacing w:line="240" w:lineRule="auto" w:after="80"/>
        <w:ind w:left="216" w:hanging="216"/>
        <w:jc w:val="left"/>
      </w:pPr>
      <w:r>
        <w:rPr>
          <w:b w:val="0"/>
          <w:sz w:val="17"/>
        </w:rPr>
        <w:t>[5] J. Scheuing and B. Yang, “Disambiguation of TDOA Estimation for Multiple Sources in Reverberant Environments,” IEEE Transactions on Audio, Speech, and Language Processing, 16(8), 1479–1489, 2008. doi:10.1109/TASL.2008.2004533.</w:t>
      </w:r>
    </w:p>
    <w:p>
      <w:pPr>
        <w:keepLines/>
        <w:spacing w:line="240" w:lineRule="auto" w:after="80"/>
        <w:ind w:left="216" w:hanging="216"/>
        <w:jc w:val="left"/>
      </w:pPr>
      <w:r>
        <w:rPr>
          <w:b w:val="0"/>
          <w:sz w:val="17"/>
        </w:rPr>
        <w:t>[6] F. Grondin et al., “ODAS: Open embeddeD Audition System,” arXiv:2103.03954, 2021, revised 2022. https://arxiv.org/abs/2103.03954</w:t>
      </w:r>
    </w:p>
    <w:p>
      <w:pPr>
        <w:keepLines/>
        <w:spacing w:line="240" w:lineRule="auto" w:after="80"/>
        <w:ind w:left="216" w:hanging="216"/>
        <w:jc w:val="left"/>
      </w:pPr>
      <w:r>
        <w:rPr>
          <w:b w:val="0"/>
          <w:sz w:val="17"/>
        </w:rPr>
        <w:t>[7] J. W. Yeow, E.-L. Tan, J. Bai, S. Peksi, and W.-S. Gan, “Real-Time Sound Event Localization and Detection: Deployment Challenges on Edge Devices,” arXiv:2409.11700, 2024. https://arxiv.org/abs/2409.11700</w:t>
      </w:r>
    </w:p>
    <w:p>
      <w:pPr>
        <w:keepLines/>
        <w:spacing w:line="240" w:lineRule="auto" w:after="80"/>
        <w:ind w:left="216" w:hanging="216"/>
        <w:jc w:val="left"/>
      </w:pPr>
      <w:r>
        <w:rPr>
          <w:b w:val="0"/>
          <w:sz w:val="17"/>
        </w:rPr>
        <w:t>[8] C. Guo, G. Pleiss, Y. Sun, and K. Q. Weinberger, “On Calibration of Modern Neural Networks,” ICML, PMLR 70, 1321–1330, 2017. https://proceedings.mlr.press/v70/guo17a.html</w:t>
      </w:r>
    </w:p>
    <w:p>
      <w:pPr>
        <w:keepLines/>
        <w:spacing w:line="240" w:lineRule="auto" w:after="80"/>
        <w:ind w:left="216" w:hanging="216"/>
        <w:jc w:val="left"/>
      </w:pPr>
      <w:r>
        <w:rPr>
          <w:b w:val="0"/>
          <w:sz w:val="17"/>
        </w:rPr>
        <w:t>[9] Y. Geifman and R. El-Yaniv, “Selective Classification for Deep Neural Networks,” arXiv:1705.08500, 2017. https://arxiv.org/abs/1705.08500</w:t>
      </w:r>
    </w:p>
    <w:p>
      <w:pPr>
        <w:keepLines/>
        <w:spacing w:line="240" w:lineRule="auto" w:after="80"/>
        <w:ind w:left="216" w:hanging="216"/>
        <w:jc w:val="left"/>
      </w:pPr>
      <w:r>
        <w:rPr>
          <w:b w:val="0"/>
          <w:sz w:val="17"/>
        </w:rPr>
        <w:t>[10] A. F. Ebihara, T. Miyagawa, K. Sakurai, and H. Imaoka, “Learning the Optimal Stopping for Early Classification within Finite Horizons via Sequential Probability Ratio Test,” ICLR, 2025. https://arxiv.org/abs/2501.18059</w:t>
      </w:r>
    </w:p>
    <w:p>
      <w:pPr>
        <w:keepLines/>
        <w:spacing w:line="240" w:lineRule="auto" w:after="80"/>
        <w:ind w:left="216" w:hanging="216"/>
        <w:jc w:val="left"/>
      </w:pPr>
      <w:r>
        <w:rPr>
          <w:b w:val="0"/>
          <w:sz w:val="17"/>
        </w:rPr>
        <w:t>[11] X. Zhao, X. Zhang, W. Cheng, W. Yu, Y. Chen, H. Chen, and F. Chen, “SEED: Sound Event Early Detection via Evidential Uncertainty,” ICASSP, 2022; arXiv:2202.02441. https://arxiv.org/abs/2202.02441</w:t>
      </w:r>
    </w:p>
    <w:p>
      <w:pPr>
        <w:spacing w:line="20" w:lineRule="exact" w:after="0"/>
        <w:sectPr>
          <w:type w:val="continuous"/>
          <w:pgSz w:w="12240" w:h="15840"/>
          <w:pgMar w:top="922" w:right="936" w:bottom="922" w:left="936" w:header="432" w:footer="432" w:gutter="0"/>
          <w:cols w:space="288" w:num="2"/>
          <w:docGrid w:linePitch="360"/>
        </w:sectPr>
      </w:pPr>
    </w:p>
    <w:sectPr w:rsidR="00FC693F" w:rsidRPr="0006063C" w:rsidSect="00034616">
      <w:type w:val="continuous"/>
      <w:pgSz w:w="12240" w:h="15840"/>
      <w:pgMar w:top="922" w:right="936" w:bottom="922" w:left="936" w:header="432" w:footer="432" w:gutter="0"/>
      <w:cols w:space="28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line="244" w:lineRule="exact"/>
      <w:ind w:firstLine="173"/>
      <w:jc w:val="both"/>
    </w:pPr>
    <w:rPr>
      <w:rFonts w:ascii="Times New Roman" w:hAnsi="Times New Roman" w:eastAsia="Times New Roman"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80" w:line="244" w:lineRule="exact"/>
      <w:jc w:val="center"/>
      <w:outlineLvl w:val="0"/>
    </w:pPr>
    <w:rPr>
      <w:rFonts w:ascii="Times New Roman" w:hAnsi="Times New Roman" w:eastAsia="Times New Roman" w:cs="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44" w:lineRule="exact"/>
      <w:outlineLvl w:val="1"/>
    </w:pPr>
    <w:rPr>
      <w:rFonts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40" w:line="244" w:lineRule="exact"/>
    </w:pPr>
    <w:rPr>
      <w:rFonts w:ascii="Times New Roman" w:hAnsi="Times New Roman" w:eastAsia="Times New Roman" w:cs="Times New Roman"/>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40"/>
    </w:pPr>
    <w:rPr>
      <w:rFonts w:ascii="Times New Roman" w:hAnsi="Times New Roman" w:eastAsia="Times New Roman" w:cs="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SoundScape Band Simulation Study of Dual Evidence Directional Alerting</dc:title>
  <dc:subject>Simulation study updated with audible browser replay and Wokwi policy demonstration</dc:subject>
  <dc:creator>Rishit Chaudhary; Siddharth Verma; Deeksha V</dc:creator>
  <cp:keywords/>
  <dc:description>generated by python-docx</dc:description>
  <cp:lastModifiedBy/>
  <cp:revision>1</cp:revision>
  <dcterms:created xsi:type="dcterms:W3CDTF">2013-12-23T23:15:00Z</dcterms:created>
  <dcterms:modified xsi:type="dcterms:W3CDTF">2013-12-23T23:15:00Z</dcterms:modified>
  <cp:category/>
</cp:coreProperties>
</file>