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A1A2E"/>
          <w:sz w:val="72"/>
          <w:szCs w:val="72"/>
        </w:rPr>
        <w:t xml:space="preserve">PRV3</w:t>
      </w:r>
    </w:p>
    <w:p>
      <w:pPr>
        <w:spacing w:after="240" w:before="0"/>
        <w:jc w:val="center"/>
      </w:pPr>
      <w:r>
        <w:rPr>
          <w:rFonts w:ascii="Arial" w:cs="Arial" w:eastAsia="Arial" w:hAnsi="Arial"/>
          <w:color w:val="2E4B6E"/>
          <w:sz w:val="40"/>
          <w:szCs w:val="40"/>
        </w:rPr>
        <w:t xml:space="preserve">Scoring Architecture Specification</w:t>
      </w:r>
    </w:p>
    <w:p>
      <w:pPr>
        <w:spacing w:after="80" w:before="0"/>
        <w:jc w:val="center"/>
      </w:pPr>
      <w:r>
        <w:rPr>
          <w:rFonts w:ascii="Arial" w:cs="Arial" w:eastAsia="Arial" w:hAnsi="Arial"/>
          <w:color w:val="666666"/>
          <w:sz w:val="22"/>
          <w:szCs w:val="22"/>
        </w:rPr>
        <w:t xml:space="preserve">Build Document — Claude Code and Gemini</w:t>
      </w:r>
    </w:p>
    <w:p>
      <w:pPr>
        <w:spacing w:after="80" w:before="0"/>
        <w:jc w:val="center"/>
      </w:pPr>
      <w:r>
        <w:rPr>
          <w:rFonts w:ascii="Arial" w:cs="Arial" w:eastAsia="Arial" w:hAnsi="Arial"/>
          <w:color w:val="666666"/>
          <w:sz w:val="22"/>
          <w:szCs w:val="22"/>
        </w:rPr>
        <w:t xml:space="preserve">Version 1.0  ·  May 2026</w:t>
      </w:r>
    </w:p>
    <w:p>
      <w:pPr>
        <w:spacing w:after="80" w:before="0"/>
        <w:jc w:val="center"/>
      </w:pPr>
      <w:r>
        <w:rPr>
          <w:rFonts w:ascii="Arial" w:cs="Arial" w:eastAsia="Arial" w:hAnsi="Arial"/>
          <w:i/>
          <w:iCs/>
          <w:color w:val="999999"/>
          <w:sz w:val="20"/>
          <w:szCs w:val="20"/>
        </w:rPr>
        <w:t xml:space="preserve">PRV3 Principal Brief governs. Pete confirms everything.</w:t>
      </w:r>
    </w:p>
    <w:p>
      <w:pPr>
        <w:spacing w:after="0" w:before="0"/>
      </w:pPr>
      <w:r>
        <w:t xml:space="preserve"/>
      </w:r>
    </w:p>
    <w:p>
      <w:pPr>
        <w:spacing w:after="0" w:before="0"/>
      </w:pPr>
      <w:r>
        <w:t xml:space="preserve"/>
      </w:r>
    </w:p>
    <w:p>
      <w:pPr>
        <w:spacing w:after="0" w:before="0"/>
      </w:pPr>
      <w:r>
        <w:t xml:space="preserve"/>
      </w:r>
    </w:p>
    <w:p>
      <w:pPr>
        <w:pBdr>
          <w:bottom w:val="single" w:color="CCCCCC" w:sz="4" w:space="1"/>
        </w:pBdr>
        <w:spacing w:after="120" w:before="120"/>
      </w:pPr>
      <w:r>
        <w:t xml:space="preserve"/>
      </w:r>
    </w:p>
    <w:p>
      <w:pPr>
        <w:spacing w:after="0" w:before="0"/>
      </w:pPr>
      <w:r>
        <w:t xml:space="preserve"/>
      </w:r>
    </w:p>
    <w:p>
      <w:pPr>
        <w:spacing w:after="60" w:before="0"/>
        <w:jc w:val="center"/>
      </w:pPr>
      <w:r>
        <w:rPr>
          <w:rFonts w:ascii="Arial" w:cs="Arial" w:eastAsia="Arial" w:hAnsi="Arial"/>
          <w:b/>
          <w:bCs/>
          <w:color w:val="333333"/>
          <w:sz w:val="18"/>
          <w:szCs w:val="18"/>
        </w:rPr>
        <w:t xml:space="preserve">DOCUMENT STATUS LEGEND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tblGrid>
      <w:tr>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Confirmed architecture decision. Claude Code implements directly.</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Placeholder value. Phase 1 test suite data will populate. Flagged with methodology.</w:t>
            </w:r>
          </w:p>
        </w:tc>
      </w:tr>
      <w:tr>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FLAGGED GAP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Open question that must be resolved before the engine is built.</w:t>
            </w:r>
          </w:p>
        </w:tc>
      </w:tr>
    </w:tbl>
    <w:p>
      <w:r>
        <w:br w:type="page"/>
      </w:r>
    </w:p>
    <w:p>
      <w:pPr>
        <w:pStyle w:val="Heading1"/>
        <w:spacing w:after="120" w:before="480"/>
      </w:pPr>
      <w:r>
        <w:rPr>
          <w:rFonts w:ascii="Arial" w:cs="Arial" w:eastAsia="Arial" w:hAnsi="Arial"/>
          <w:b/>
          <w:bCs/>
          <w:color w:val="1A1A2E"/>
          <w:sz w:val="32"/>
          <w:szCs w:val="32"/>
        </w:rPr>
        <w:t xml:space="preserve">Section I: Data Schema</w:t>
      </w:r>
    </w:p>
    <w:p>
      <w:pPr>
        <w:spacing w:after="60" w:before="60"/>
      </w:pPr>
      <w:r>
        <w:rPr>
          <w:rFonts w:ascii="Arial" w:cs="Arial" w:eastAsia="Arial" w:hAnsi="Arial"/>
          <w:i/>
          <w:iCs/>
          <w:color w:val="555555"/>
          <w:sz w:val="20"/>
          <w:szCs w:val="20"/>
        </w:rPr>
        <w:t xml:space="preserve">This section defines the data structures the engine reads from. All state profiles, question definitions, and lookup tables are specified here. Claude Code creates these structures exactly as defined. No values are computed at runtime from this section — it is the static foundation the accumulation engine operates on.</w:t>
      </w:r>
    </w:p>
    <w:p>
      <w:pPr>
        <w:spacing w:after="0" w:before="0"/>
      </w:pPr>
      <w:r>
        <w:t xml:space="preserve"/>
      </w:r>
    </w:p>
    <w:p>
      <w:pPr>
        <w:pStyle w:val="Heading2"/>
        <w:spacing w:after="80" w:before="300"/>
      </w:pPr>
      <w:r>
        <w:rPr>
          <w:rFonts w:ascii="Arial" w:cs="Arial" w:eastAsia="Arial" w:hAnsi="Arial"/>
          <w:b/>
          <w:bCs/>
          <w:color w:val="2E4B6E"/>
          <w:sz w:val="26"/>
          <w:szCs w:val="26"/>
        </w:rPr>
        <w:t xml:space="preserve">I.1  State Profile Schema</w:t>
      </w:r>
    </w:p>
    <w:p>
      <w:pPr>
        <w:spacing w:after="60" w:before="60"/>
      </w:pPr>
      <w:r>
        <w:rPr>
          <w:rFonts w:ascii="Arial" w:cs="Arial" w:eastAsia="Arial" w:hAnsi="Arial"/>
          <w:sz w:val="20"/>
          <w:szCs w:val="20"/>
        </w:rPr>
        <w:t xml:space="preserve">Each of the 45 states is stored as a profile object with the following fields. These profiles are the target vectors the accumulation engine compares against.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Unique identifier. Lowercase snake_case. Example: built_to_fail</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state_name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Display name. Example: Built to Fail</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primary_dimension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Enum: Aptitude | Authority | Alliance | Attitude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dimensional_vector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aptitude_liability, aptitude_asset, authority_liability, authority_asset, alliance_liability, alliance_asset, attitude_liability, attitude_asset }. Each field: float 0.0–1.0. Equal-weight baseline: each field = 0.25. Calibration target: Confusion Matrix methodology adjusts dimensional salience weights after Phase 1 data.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signal_weight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Enum: high | medium | low | cluster. Source: PRV3_Question_Signal_Map.md</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cluster_id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or null. C-Manager | C-Culture | C-Silence | C-InfoFlow | null</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liability_axes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Array of strings. Primary liability categories from Liability Risk Framework. Source: PRV3_State_Taxonomy_Profiles.docx</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asset_axes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Array of strings. Primary asset domains from Leadership Competency Framework. Source: PRV3_State_Taxonomy_Profiles.docx</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severity_range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min: Enum Emerging|Entrenched|Endemic, max: Enum Emerging|Entrenched|Endemic }. Populated from taxonomy profiles.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resolution_family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One of the five service offerings the output routes to.</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before="0"/>
            </w:pPr>
            <w:r>
              <w:rPr>
                <w:rFonts w:ascii="Arial" w:cs="Arial" w:eastAsia="Arial" w:hAnsi="Arial"/>
                <w:i/>
                <w:iCs/>
                <w:sz w:val="18"/>
                <w:szCs w:val="18"/>
              </w:rPr>
              <w:t xml:space="preserve">Equal-weight baseline: all eight dimensional vector fields initialize at 0.25. This is the calibration starting point. Confusion Matrix analysis of Phase 1 misclassification data drives deviation from equal weights. Do not set speculative weights — run on 0.25 until calibration data exists.</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I.2  Question Library Schema</w:t>
      </w:r>
    </w:p>
    <w:p>
      <w:pPr>
        <w:spacing w:after="60" w:before="60"/>
      </w:pPr>
      <w:r>
        <w:rPr>
          <w:rFonts w:ascii="Arial" w:cs="Arial" w:eastAsia="Arial" w:hAnsi="Arial"/>
          <w:sz w:val="20"/>
          <w:szCs w:val="20"/>
        </w:rPr>
        <w:t xml:space="preserve">Each question in the diagnostic sequence (Q1–Q34 core, plus conditional severity follow-ons and cluster distinguisher questions) is stored as a question object.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question_id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Q01–Q34 for core sequence. SEVER-01 through SEVER-12 for severity follow-ons. DIST-[cluster]-01 etc. for distinguisher questions.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question_text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The question as presented to the principal.</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format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Enum: forced_choice | weighted_multi_select | likert. Forced choice is primary. Weighted multi-select secondary. Likert tertiary.</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sequence_position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Integer or null. Core sequence Q1–Q34 has assigned positions. Severity follow-ons and distinguisher questions are null — position determined at runtime by branching logic.</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checkpoint_segment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Enum: early | mid | late | conditional. early = before Q11. mid = Q12–Q19. late = Q20–Q34. conditional = fires on trigger.</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answer_vectors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Array. One entry per answer option. Each entry: { option_id: string, option_text: string, dimensional_contributions: { aptitude_liability, aptitude_asset, authority_liability, authority_asset, alliance_liability, alliance_asset, attitude_liability, attitude_asset }, severity_trigger: boolean, severity_follow_on_id: string or null }. Dimensional contributions are floats — positive values add weight in that axis direction.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state_targets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Array of state_ids. The states this question is designed to illuminate. Drawn from PRV3_Question_Signal_Map.md signal target assignments.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severity_trigger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Boolean. True if any answer option in this question can trigger a severity follow-on.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I.3  Intake Lookup Tables</w:t>
      </w:r>
    </w:p>
    <w:p>
      <w:pPr>
        <w:spacing w:after="60" w:before="60"/>
      </w:pPr>
      <w:r>
        <w:rPr>
          <w:rFonts w:ascii="Arial" w:cs="Arial" w:eastAsia="Arial" w:hAnsi="Arial"/>
          <w:sz w:val="20"/>
          <w:szCs w:val="20"/>
        </w:rPr>
        <w:t xml:space="preserve">The intake layer has six fields. Fields 1–6 are consumed at sequence start and converted into two sets of multipliers before Q1. These tables define the conversion logic.</w:t>
      </w:r>
    </w:p>
    <w:p>
      <w:pPr>
        <w:spacing w:after="0" w:before="0"/>
      </w:pPr>
      <w:r>
        <w:t xml:space="preserve"/>
      </w:r>
    </w:p>
    <w:p>
      <w:pPr>
        <w:spacing w:after="60" w:before="200"/>
      </w:pPr>
      <w:r>
        <w:rPr>
          <w:rFonts w:ascii="Arial" w:cs="Arial" w:eastAsia="Arial" w:hAnsi="Arial"/>
          <w:b/>
          <w:bCs/>
          <w:color w:val="2E4B6E"/>
          <w:sz w:val="22"/>
          <w:szCs w:val="22"/>
        </w:rPr>
        <w:t xml:space="preserve">I.3.1  Prior Probability Adjusters — Significant Events</w:t>
      </w:r>
    </w:p>
    <w:p>
      <w:pPr>
        <w:spacing w:after="60" w:before="60"/>
      </w:pPr>
      <w:r>
        <w:rPr>
          <w:rFonts w:ascii="Arial" w:cs="Arial" w:eastAsia="Arial" w:hAnsi="Arial"/>
          <w:sz w:val="20"/>
          <w:szCs w:val="20"/>
        </w:rPr>
        <w:t xml:space="preserve">Source field: Intake field 5 — Significant events (past 18 months). Multiple selections permitted.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c>
          <w:tcPr>
            <w:tcW w:type="dxa" w:w="22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Event</w:t>
            </w:r>
          </w:p>
        </w:tc>
        <w:tc>
          <w:tcPr>
            <w:tcW w:type="dxa" w:w="43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States Elevated</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Multiplier</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Acquisition or merger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The Second Close · Identity Erosion · Transition Paralysis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External legal claim or regulatory inquiry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The Unsolved Problem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Restructuring or layoff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Transition Paralysis · The Fracture · Identity Erosion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Rapid growth 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Built to Fail · The Founder's Grip · Silosolation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Leadership departure or transition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Leadership Continuity Risk · The Uninitiated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 adjustment. Equal prior probabilities.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1.0x</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before="0"/>
            </w:pPr>
            <w:r>
              <w:rPr>
                <w:rFonts w:ascii="Arial" w:cs="Arial" w:eastAsia="Arial" w:hAnsi="Arial"/>
                <w:i/>
                <w:iCs/>
                <w:sz w:val="18"/>
                <w:szCs w:val="18"/>
              </w:rPr>
              <w:t xml:space="preserve">Exact multiplier values are calibration targets — not set speculatively. The state selection hypotheses above are the starting model. Phase 1 test suite data validates and differentiates. Engine uses neutral prior (equal probability across 45 states) until calibration data establishes real multiplier values.</w:t>
            </w:r>
          </w:p>
        </w:tc>
      </w:tr>
    </w:tbl>
    <w:p>
      <w:pPr>
        <w:spacing w:after="0" w:before="0"/>
      </w:pPr>
      <w:r>
        <w:t xml:space="preserve"/>
      </w:r>
    </w:p>
    <w:p>
      <w:pPr>
        <w:spacing w:after="60" w:before="200"/>
      </w:pPr>
      <w:r>
        <w:rPr>
          <w:rFonts w:ascii="Arial" w:cs="Arial" w:eastAsia="Arial" w:hAnsi="Arial"/>
          <w:b/>
          <w:bCs/>
          <w:color w:val="2E4B6E"/>
          <w:sz w:val="22"/>
          <w:szCs w:val="22"/>
        </w:rPr>
        <w:t xml:space="preserve">I.3.2  Axis Weight Modifiers — Industry, Headcount, Organization Type, Jurisdiction</w:t>
      </w:r>
    </w:p>
    <w:p>
      <w:pPr>
        <w:spacing w:after="60" w:before="60"/>
      </w:pPr>
      <w:r>
        <w:rPr>
          <w:rFonts w:ascii="Arial" w:cs="Arial" w:eastAsia="Arial" w:hAnsi="Arial"/>
          <w:sz w:val="20"/>
          <w:szCs w:val="20"/>
        </w:rPr>
        <w:t xml:space="preserve">These modifiers scale how heavily the engine interprets specific dimensional axis signals during accumulation. They do not change which states are possible — they change how signal in particular axis directions is weighted.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160"/>
        <w:gridCol w:w="1200"/>
        <w:gridCol w:w="10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Intake Field</w:t>
            </w:r>
          </w:p>
        </w:tc>
        <w:tc>
          <w:tcPr>
            <w:tcW w:type="dxa" w:w="26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Condition</w:t>
            </w:r>
          </w:p>
        </w:tc>
        <w:tc>
          <w:tcPr>
            <w:tcW w:type="dxa" w:w="21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Axis Modified</w:t>
            </w:r>
          </w:p>
        </w:tc>
        <w:tc>
          <w:tcPr>
            <w:tcW w:type="dxa" w:w="12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Multiplier</w:t>
            </w:r>
          </w:p>
        </w:tc>
        <w:tc>
          <w:tcPr>
            <w:tcW w:type="dxa" w:w="10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Industry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Construction or Manufacturing selected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Safety &amp; Wellbeing liability signals</w:t>
            </w:r>
          </w:p>
        </w:tc>
        <w:tc>
          <w:tcPr>
            <w:tcW w:type="dxa" w:w="12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1.2x</w:t>
            </w:r>
          </w:p>
        </w:tc>
        <w:tc>
          <w:tcPr>
            <w:tcW w:type="dxa" w:w="10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Headcount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Under 25 selected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Prior probability: The Founder's Grip elevated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Organization 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Founder-led selected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Authority-Liability axis signals elevated</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Jurisdiction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Transparency = True (see I.4)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Liability-Authority signals involving compensation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1.3x (hypothesis)</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before="0"/>
            </w:pPr>
            <w:r>
              <w:rPr>
                <w:rFonts w:ascii="Arial" w:cs="Arial" w:eastAsia="Arial" w:hAnsi="Arial"/>
                <w:i/>
                <w:iCs/>
                <w:sz w:val="18"/>
                <w:szCs w:val="18"/>
              </w:rPr>
              <w:t xml:space="preserve">The founder-led organization type multiplier for Authority-Liability signals is a confirmed calibration target — the hypothesis is that it is elevated but the exact value awaits Phase 1 data. Do not set speculatively.</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I.4  Jurisdiction Lookup Table</w:t>
      </w:r>
    </w:p>
    <w:p>
      <w:pPr>
        <w:spacing w:after="60" w:before="60"/>
      </w:pPr>
      <w:r>
        <w:rPr>
          <w:rFonts w:ascii="Arial" w:cs="Arial" w:eastAsia="Arial" w:hAnsi="Arial"/>
          <w:sz w:val="20"/>
          <w:szCs w:val="20"/>
        </w:rPr>
        <w:t xml:space="preserve">Jurisdiction is captured in intake field 3 (US state selector). Each jurisdiction entry stores three Boolean fields corresponding to the three trigger categories. At sequence start the engine reads the jurisdiction Boolean values and passes them to the axis weight modifier logic in Section II.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jurisdiction_id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Two-letter US state abbreviation. Example: CA, NY, WA.</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transparency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Boolean. True if jurisdiction has active pay transparency or compensation disclosure law. Current True values: CA, CO, NY, WA, IL, MA.</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retaliation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Boolean. True if jurisdiction has strong whistleblower protection statute. Populate from current legal review — not set in this document.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procedural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Boolean. True if jurisdiction has required training or policy mandates beyond federal baseline. Populate from current legal review — not set in this document.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multi_state_flag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Boolean. True if principal selected 5+ jurisdictions in intake. When True, engine applies highest-restriction profile across all selected states for each Boolean category.</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00"/>
              <w:left w:type="dxa" w:w="160"/>
              <w:bottom w:type="dxa" w:w="100"/>
              <w:right w:type="dxa" w:w="160"/>
            </w:tcMar>
          </w:tcPr>
          <w:p>
            <w:pPr>
              <w:spacing w:after="0" w:before="0"/>
            </w:pPr>
            <w:r>
              <w:rPr>
                <w:rFonts w:ascii="Arial" w:cs="Arial" w:eastAsia="Arial" w:hAnsi="Arial"/>
                <w:i/>
                <w:iCs/>
                <w:sz w:val="18"/>
                <w:szCs w:val="18"/>
              </w:rPr>
              <w:t xml:space="preserve">Transparency = True adds 1.3x weight to Liability-Authority signals involving compensation (Pay Exposure, The Pay Fog, Heard &amp; Ignored in compensation context). This is a softer hypothesis than other multipliers — NY pay transparency law is relatively new and the liability exposure curve is not fully established. Flag for early revision in calibration.</w:t>
            </w:r>
          </w:p>
        </w:tc>
      </w:tr>
    </w:tbl>
    <w:p>
      <w:pPr>
        <w:spacing w:after="0" w:before="0"/>
      </w:pPr>
      <w:r>
        <w:t xml:space="preserve"/>
      </w:r>
    </w:p>
    <w:p>
      <w:r>
        <w:br w:type="page"/>
      </w:r>
    </w:p>
    <w:p>
      <w:pPr>
        <w:pStyle w:val="Heading1"/>
        <w:spacing w:after="120" w:before="480"/>
      </w:pPr>
      <w:r>
        <w:rPr>
          <w:rFonts w:ascii="Arial" w:cs="Arial" w:eastAsia="Arial" w:hAnsi="Arial"/>
          <w:b/>
          <w:bCs/>
          <w:color w:val="1A1A2E"/>
          <w:sz w:val="32"/>
          <w:szCs w:val="32"/>
        </w:rPr>
        <w:t xml:space="preserve">Section II: Accumulation Engine</w:t>
      </w:r>
    </w:p>
    <w:p>
      <w:pPr>
        <w:spacing w:after="60" w:before="60"/>
      </w:pPr>
      <w:r>
        <w:rPr>
          <w:rFonts w:ascii="Arial" w:cs="Arial" w:eastAsia="Arial" w:hAnsi="Arial"/>
          <w:i/>
          <w:iCs/>
          <w:color w:val="555555"/>
          <w:sz w:val="20"/>
          <w:szCs w:val="20"/>
        </w:rPr>
        <w:t xml:space="preserve">This section defines how the engine moves from a complete intake plus Q1–Q34 answers to a ranked state distribution. The accumulation model is Vector-Based Pattern Matching. The engine calculates Euclidean distance between the accumulated answer vector and each state profile vector.</w:t>
      </w:r>
    </w:p>
    <w:p>
      <w:pPr>
        <w:spacing w:after="0" w:before="0"/>
      </w:pPr>
      <w:r>
        <w:t xml:space="preserve"/>
      </w:r>
    </w:p>
    <w:p>
      <w:pPr>
        <w:pStyle w:val="Heading2"/>
        <w:spacing w:after="80" w:before="300"/>
      </w:pPr>
      <w:r>
        <w:rPr>
          <w:rFonts w:ascii="Arial" w:cs="Arial" w:eastAsia="Arial" w:hAnsi="Arial"/>
          <w:b/>
          <w:bCs/>
          <w:color w:val="2E4B6E"/>
          <w:sz w:val="26"/>
          <w:szCs w:val="26"/>
        </w:rPr>
        <w:t xml:space="preserve">II.1  Prior Probability Initialization</w:t>
      </w:r>
    </w:p>
    <w:p>
      <w:pPr>
        <w:spacing w:after="60" w:before="60"/>
      </w:pPr>
      <w:r>
        <w:rPr>
          <w:rFonts w:ascii="Arial" w:cs="Arial" w:eastAsia="Arial" w:hAnsi="Arial"/>
          <w:sz w:val="20"/>
          <w:szCs w:val="20"/>
        </w:rPr>
        <w:t xml:space="preserve">Before Q1 is answered, the engine initializes a state probability distribution from intake data. This is not a uniform prior — intake multipliers shift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Baseline prior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Equal probability across all 45 states: 1/45 = 0.0222 per state.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Significant event adjustment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For each selected significant event, apply the prior probability multiplier to the listed states (see I.3.1). Normalize distribution to sum to 1.0 after all adjustments are applied.</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Headcount adjustment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If headcount &lt; 25, apply elevated prior to The Founder's Grip (exact value: 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Normalization requirement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After all prior probability adjusters are applied, the full distribution must sum to 1.0. Use proportional normalization: divide each state's adjusted prior by the sum of all adjusted priors.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II.2  Vector Accumulation</w:t>
      </w:r>
    </w:p>
    <w:p>
      <w:pPr>
        <w:spacing w:after="60" w:before="60"/>
      </w:pPr>
      <w:r>
        <w:rPr>
          <w:rFonts w:ascii="Arial" w:cs="Arial" w:eastAsia="Arial" w:hAnsi="Arial"/>
          <w:sz w:val="20"/>
          <w:szCs w:val="20"/>
        </w:rPr>
        <w:t xml:space="preserve">For each question answered (Q1 through Q34, plus any fired conditional questions), the engine adds the selected answer's dimensional_contributions vector to the accumulated answer vector.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Accumulation operation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Element-wise addition. accumulated_vector[dim] += answer_vector[dim] for each of the 8 dimensional fields.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Initial accumulated vector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All eight fields = 0.0 at sequence start.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Multi-select questions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When a weighted_multi_select question fires, the principal selects one or more options. Each selected option's vector is added. Options have individual weights embedded in their dimensional_contributions values. No double-counting — weights are pre-scaled per option.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Conditional severity follow-ons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Severity follow-on questions contribute to the accumulated vector normally. Their dimensional_contributions are defined in the question library. They also contribute to the severity accumulation in Section V.</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Narrative prompt answer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Narrative prompt is processed by the LLM (Section IV). Its contribution to the accumulated vector is gated by LLM confidence score and applied as a weighted addition. Does not override prior accumulation.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II.3  Signal Reliability Coefficient Application</w:t>
      </w:r>
    </w:p>
    <w:p>
      <w:pPr>
        <w:spacing w:after="60" w:before="60"/>
      </w:pPr>
      <w:r>
        <w:rPr>
          <w:rFonts w:ascii="Arial" w:cs="Arial" w:eastAsia="Arial" w:hAnsi="Arial"/>
          <w:sz w:val="20"/>
          <w:szCs w:val="20"/>
        </w:rPr>
        <w:t xml:space="preserve">The principal's role (intake field 6) modulates the confidence the engine places in specific answer contributions. This is not a dimensional weight change — it modulates the magnitude of a specific answer's vector contribution based on the principal's observational proximity to the signaled condition.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Coefficient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0.8 to 1.2. Applied as a scalar multiplier to the dimensional_contributions of an individual answer before it is added to the accumulated vector.</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Application scope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Not applied uniformly. Applied only to answer contributions targeting specific dimensional axes where the principal's role affects observational reliability. Full mapping is a 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Coefficient calibration methodology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FLAGGED GAP. See Section II.3.1 below. This methodology must be resolved before Claude Code builds the engine.</w:t>
            </w:r>
          </w:p>
        </w:tc>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FLAGGED GAP</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Example (hypothesis, not locked)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Owner/founder selecting an Authority-Liability signal answer: coefficient 1.2 (direct causal proximity). VP selecting same answer: coefficient 1.0 (above-the-condition observation). HR leader selecting the same answer: coefficient 1.1 (lateral observation with professional pattern recognition).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bl>
    <w:p>
      <w:pPr>
        <w:spacing w:after="0" w:before="0"/>
      </w:pPr>
      <w:r>
        <w:t xml:space="preserve"/>
      </w:r>
    </w:p>
    <w:p>
      <w:pPr>
        <w:spacing w:after="60" w:before="200"/>
      </w:pPr>
      <w:r>
        <w:rPr>
          <w:rFonts w:ascii="Arial" w:cs="Arial" w:eastAsia="Arial" w:hAnsi="Arial"/>
          <w:b/>
          <w:bCs/>
          <w:color w:val="2E4B6E"/>
          <w:sz w:val="22"/>
          <w:szCs w:val="22"/>
        </w:rPr>
        <w:t xml:space="preserve">II.3.1  Confidence Coefficient Calibration Methodology — Flagged Gap Resolution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00"/>
              <w:left w:type="dxa" w:w="160"/>
              <w:bottom w:type="dxa" w:w="100"/>
              <w:right w:type="dxa" w:w="160"/>
            </w:tcMar>
          </w:tcPr>
          <w:p>
            <w:pPr>
              <w:spacing w:after="0" w:before="0"/>
            </w:pPr>
            <w:r>
              <w:rPr>
                <w:rFonts w:ascii="Arial" w:cs="Arial" w:eastAsia="Arial" w:hAnsi="Arial"/>
                <w:i/>
                <w:iCs/>
                <w:sz w:val="18"/>
                <w:szCs w:val="18"/>
              </w:rPr>
              <w:t xml:space="preserve">FLAGGED GAP — This section documents the resolution of the open calibration methodology question identified in Session 3. The gap: the handoff noted that the confidence coefficient calibration methodology was not established. This must be resolved here before Claude Code builds the engine.</w:t>
            </w:r>
          </w:p>
        </w:tc>
      </w:tr>
    </w:tbl>
    <w:p>
      <w:pPr>
        <w:spacing w:after="0" w:before="0"/>
      </w:pPr>
      <w:r>
        <w:t xml:space="preserve"/>
      </w:r>
    </w:p>
    <w:p>
      <w:pPr>
        <w:spacing w:after="60" w:before="60"/>
      </w:pPr>
      <w:r>
        <w:rPr>
          <w:rFonts w:ascii="Arial" w:cs="Arial" w:eastAsia="Arial" w:hAnsi="Arial"/>
          <w:sz w:val="20"/>
          <w:szCs w:val="20"/>
        </w:rPr>
        <w:t xml:space="preserve">The confidence coefficient is not a measurement of how trustworthy the principal is. It is a measurement of how much observational signal a person in a specific role can reliably provide about a specific axis condition. Two factors determine it:</w:t>
      </w:r>
    </w:p>
    <w:p>
      <w:pPr>
        <w:spacing w:after="0" w:before="0"/>
      </w:pPr>
      <w:r>
        <w:t xml:space="preserve"/>
      </w:r>
    </w:p>
    <w:p>
      <w:pPr>
        <w:spacing w:after="60" w:before="60"/>
      </w:pPr>
      <w:r>
        <w:rPr>
          <w:rFonts w:ascii="Arial" w:cs="Arial" w:eastAsia="Arial" w:hAnsi="Arial"/>
          <w:sz w:val="20"/>
          <w:szCs w:val="20"/>
        </w:rPr>
        <w:t xml:space="preserve">Factor 1 — Causal proximity. Is this principal in a position where they could cause, observe directly, or be the named subject of this condition? High causal proximity means their answer is high-signal. Low causal proximity means their answer may be filtered, incomplete, or a second-order observation.</w:t>
      </w:r>
    </w:p>
    <w:p>
      <w:pPr>
        <w:spacing w:after="0" w:before="0"/>
      </w:pPr>
      <w:r>
        <w:t xml:space="preserve"/>
      </w:r>
    </w:p>
    <w:p>
      <w:pPr>
        <w:spacing w:after="60" w:before="60"/>
      </w:pPr>
      <w:r>
        <w:rPr>
          <w:rFonts w:ascii="Arial" w:cs="Arial" w:eastAsia="Arial" w:hAnsi="Arial"/>
          <w:sz w:val="20"/>
          <w:szCs w:val="20"/>
        </w:rPr>
        <w:t xml:space="preserve">Factor 2 — Professional pattern recognition. Does this role come with training, framework, or accountability that sharpens observation of this axis condition? An HR leader observing a Cultural &amp; Behavioral signal has professional pattern recognition that a CEO may lack. A founder observing an Authority condition has direct pattern recognition.</w:t>
      </w:r>
    </w:p>
    <w:p>
      <w:pPr>
        <w:spacing w:after="0" w:before="0"/>
      </w:pPr>
      <w:r>
        <w:t xml:space="preserve"/>
      </w:r>
    </w:p>
    <w:p>
      <w:pPr>
        <w:spacing w:after="60" w:before="60"/>
      </w:pPr>
      <w:r>
        <w:rPr>
          <w:rFonts w:ascii="Arial" w:cs="Arial" w:eastAsia="Arial" w:hAnsi="Arial"/>
          <w:sz w:val="20"/>
          <w:szCs w:val="20"/>
        </w:rPr>
        <w:t xml:space="preserve">Proposed calibration methodology: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60"/>
        <w:gridCol w:w="1000"/>
      </w:tblGrid>
      <w:tr>
        <w:tc>
          <w:tcPr>
            <w:tcW w:type="dxa" w:w="20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Principal Role</w:t>
            </w:r>
          </w:p>
        </w:tc>
        <w:tc>
          <w:tcPr>
            <w:tcW w:type="dxa" w:w="16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Authority-Liability</w:t>
            </w:r>
          </w:p>
        </w:tc>
        <w:tc>
          <w:tcPr>
            <w:tcW w:type="dxa" w:w="16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Aptitude-Liability</w:t>
            </w:r>
          </w:p>
        </w:tc>
        <w:tc>
          <w:tcPr>
            <w:tcW w:type="dxa" w:w="16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Alliance-Liability</w:t>
            </w:r>
          </w:p>
        </w:tc>
        <w:tc>
          <w:tcPr>
            <w:tcW w:type="dxa" w:w="1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Attitude-Liability</w:t>
            </w:r>
          </w:p>
        </w:tc>
        <w:tc>
          <w:tcPr>
            <w:tcW w:type="dxa" w:w="10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Owner or founder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1.2 (direct causal proximity)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0.9 (filtered — above org)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0.9 (filtered)</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C-suite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1.1 (broad visibility)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VP or senior director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1.1 (close to team 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HR leader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1.1 (professional pattern recognition)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1.2 (professional pattern recognition)</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Board member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1.1 (governance proximity)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0.8 (distant from operations)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0.8 (distant from culture)</w:t>
            </w:r>
          </w:p>
        </w:tc>
        <w:tc>
          <w:tcPr>
            <w:tcW w:type="dxa" w:w="1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 (neutral)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1.0</w:t>
            </w:r>
          </w:p>
        </w:tc>
        <w:tc>
          <w:tcPr>
            <w:tcW w:type="dxa" w:w="10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before="0"/>
            </w:pPr>
            <w:r>
              <w:rPr>
                <w:rFonts w:ascii="Arial" w:cs="Arial" w:eastAsia="Arial" w:hAnsi="Arial"/>
                <w:i/>
                <w:iCs/>
                <w:sz w:val="18"/>
                <w:szCs w:val="18"/>
              </w:rPr>
              <w:t xml:space="preserve">All coefficient values in the table above are calibration targets — the methodology is locked, the values are starting hypotheses. Phase 1 validation methodology: for each principal role represented in test suite profiles, compare state identification accuracy when coefficients are applied versus when all coefficients are set to 1.0. Adjust coefficients in the direction that reduces misclassification. Asset axis coefficients follow the same logic as liability — maintain parallel structure.</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II.4  Euclidean Distance Calculation and State Ranking</w:t>
      </w:r>
    </w:p>
    <w:p>
      <w:pPr>
        <w:spacing w:after="60" w:before="60"/>
      </w:pPr>
      <w:r>
        <w:rPr>
          <w:rFonts w:ascii="Arial" w:cs="Arial" w:eastAsia="Arial" w:hAnsi="Arial"/>
          <w:sz w:val="20"/>
          <w:szCs w:val="20"/>
        </w:rPr>
        <w:t xml:space="preserve">After accumulation is complete (all questions answered and narrative modulation applied), the engine calculates the distance between the accumulated answer vector and each of the 45 state profile vectors. The state with the smallest distance is the closest match.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Distance formula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Standard Euclidean distance across all 8 dimensional fields. d(state) = sqrt( sum over all 8 fields of (accumulated_vector[field] - state_profile[field])^2 )</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Dimensional salience weights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Equal weights at baseline (each field contributes equally). Post-calibration: weights adjusted per state based on Confusion Matrix analysis. Applied as: weighted_d(state) = sqrt( sum over all 8 fields of w[field] * (accumulated_vector[field] - state_profile[field])^2 ) where w[field] is the per-state dimensional salience weight.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Ranking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All 45 states ranked by ascending distance (closest = rank 1). Ranking is passed to signal floor and output engine (Section VI).</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Score conversion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Distance converted to similarity score for output: score = 1 / (1 + distance). Range 0–1. Higher is closer. Scores used for signal floor comparison and multi-state output qualification.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r>
        <w:br w:type="page"/>
      </w:r>
    </w:p>
    <w:p>
      <w:pPr>
        <w:pStyle w:val="Heading1"/>
        <w:spacing w:after="120" w:before="480"/>
      </w:pPr>
      <w:r>
        <w:rPr>
          <w:rFonts w:ascii="Arial" w:cs="Arial" w:eastAsia="Arial" w:hAnsi="Arial"/>
          <w:b/>
          <w:bCs/>
          <w:color w:val="1A1A2E"/>
          <w:sz w:val="32"/>
          <w:szCs w:val="32"/>
        </w:rPr>
        <w:t xml:space="preserve">Section III: Checkpoint and Branching Logic</w:t>
      </w:r>
    </w:p>
    <w:p>
      <w:pPr>
        <w:spacing w:after="60" w:before="60"/>
      </w:pPr>
      <w:r>
        <w:rPr>
          <w:rFonts w:ascii="Arial" w:cs="Arial" w:eastAsia="Arial" w:hAnsi="Arial"/>
          <w:i/>
          <w:iCs/>
          <w:color w:val="555555"/>
          <w:sz w:val="20"/>
          <w:szCs w:val="20"/>
        </w:rPr>
        <w:t xml:space="preserve">Three checkpoints operate at progressive resolution levels. At each checkpoint the engine calculates Shannon Entropy on the state distribution. If entropy exceeds the threshold, the engine routes to distinguisher questions. If entropy is within threshold, accumulation continues on the standard path.</w:t>
      </w:r>
    </w:p>
    <w:p>
      <w:pPr>
        <w:spacing w:after="0" w:before="0"/>
      </w:pPr>
      <w:r>
        <w:t xml:space="preserve"/>
      </w:r>
    </w:p>
    <w:p>
      <w:pPr>
        <w:pStyle w:val="Heading2"/>
        <w:spacing w:after="80" w:before="300"/>
      </w:pPr>
      <w:r>
        <w:rPr>
          <w:rFonts w:ascii="Arial" w:cs="Arial" w:eastAsia="Arial" w:hAnsi="Arial"/>
          <w:b/>
          <w:bCs/>
          <w:color w:val="2E4B6E"/>
          <w:sz w:val="26"/>
          <w:szCs w:val="26"/>
        </w:rPr>
        <w:t xml:space="preserve">III.1  Shannon Entropy Calculation</w:t>
      </w:r>
    </w:p>
    <w:p>
      <w:pPr>
        <w:spacing w:after="60" w:before="60"/>
      </w:pPr>
      <w:r>
        <w:rPr>
          <w:rFonts w:ascii="Arial" w:cs="Arial" w:eastAsia="Arial" w:hAnsi="Arial"/>
          <w:sz w:val="20"/>
          <w:szCs w:val="20"/>
        </w:rPr>
        <w:t xml:space="preserve">Shannon Entropy is the ambiguity metric. It measures uncertainty of the state distribution at a given checkpoint. Lower entropy = higher concentration on one or a few states = greater diagnostic confidence.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Formula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 = -sum( p(s) * log2(p(s)) ) over all states s where p(s) &gt; 0. p(s) is derived from the state score distribution — convert similarity scores to probabilities by normalizing to sum to 1.0.</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Uniform distribution entropy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For 45 states at equal probability: H = log2(45) = 5.49 bits. This is the maximum entropy (no signal).</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Threshold at Q11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0.6 bits. Engine needs a cluster direction, not a state. Wide aperture acceptable.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Threshold at Q19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0.4 bits. Narrowed aperture. State family should be resolving.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Threshold at Q27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0.2 bits. Verdict gate. Leading state should have meaningful separation.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Threshold calibration methodology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Starting hypotheses above. Adjust based on Phase 1 false-positive rate and narrative prompt trigger frequency. If narrative prompts fire too often at Q27, loosen Q27 threshold. If misclassification rate is high, tighten earlier thresholds.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III.2  Checkpoint Logic and Distinguisher Question Routing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Q11 checkpoint — cluster identification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Engine identifies which dimension cluster carries the most signal. If H &gt; 0.6 at Q11, fire cluster distinguisher questions from the ambiguous cluster pool. If H &lt;= 0.6, continue standard path.</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Q19 checkpoint — state family resolution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Within-cluster disambiguation. If H &gt; 0.4 at Q19, fire state-family distinguisher questions. If H &lt;= 0.4, continue standard path.</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Q27 checkpoint — verdict gate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If H &gt; 0.2 at Q27, narrative prompt fires here rather than at Q34. Narrative prompt is more diagnostic than additional forced-choice questions at this point.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Distinguisher question pool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Questions tagged DIST-[cluster]-## in the question library. Pool for each cluster contains questions targeting the within-cluster distinguishing signals. Routing selects from this pool based on which states within the cluster are closest in the current distribution.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Maximum distinguisher questions per checkpoint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Two questions maximum per checkpoint activation. If ambiguity is not resolved after two distinguisher questions, engine continues accumulation and re-evaluates at next checkpoint.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III.3  Narrative Prompt Trigger Conditions and Generation Parameters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Standard trigger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After Q34. Fires regardless of entropy state.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Early trigger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At Q27 if H &gt; 0.2. Replaces rather than adds — if narrative fires at Q27, it does not fire again at Q34.</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Prompt generation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Dynamic. LLM-generated based on provisional picture at trigger point. Not static per state. One prompt per session.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Prompt framing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Draws from the top 1–3 states in the current distribution. Invites the principal to describe the situation in their own words. Does not name states — observational framing only.</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Prompt length target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2–4 sentences. Clinical tone. Observation-forward. Consistent with P-10 brand voice: 40% blunt, 60% servant leader.</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Principal response handling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Response passed to Narrative Modulation Engine (Section IV) for signal extraction and weight application.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r>
        <w:br w:type="page"/>
      </w:r>
    </w:p>
    <w:p>
      <w:pPr>
        <w:pStyle w:val="Heading1"/>
        <w:spacing w:after="120" w:before="480"/>
      </w:pPr>
      <w:r>
        <w:rPr>
          <w:rFonts w:ascii="Arial" w:cs="Arial" w:eastAsia="Arial" w:hAnsi="Arial"/>
          <w:b/>
          <w:bCs/>
          <w:color w:val="1A1A2E"/>
          <w:sz w:val="32"/>
          <w:szCs w:val="32"/>
        </w:rPr>
        <w:t xml:space="preserve">Section IV: Narrative Modulation Engine</w:t>
      </w:r>
    </w:p>
    <w:p>
      <w:pPr>
        <w:spacing w:after="60" w:before="60"/>
      </w:pPr>
      <w:r>
        <w:rPr>
          <w:rFonts w:ascii="Arial" w:cs="Arial" w:eastAsia="Arial" w:hAnsi="Arial"/>
          <w:i/>
          <w:iCs/>
          <w:color w:val="555555"/>
          <w:sz w:val="20"/>
          <w:szCs w:val="20"/>
        </w:rPr>
        <w:t xml:space="preserve">The narrative prompt response is processed by an LLM call that extracts signals and returns a confidence score. The output of this engine modulates — it does not redirect or override. Confirmation and elevation only.</w:t>
      </w:r>
    </w:p>
    <w:p>
      <w:pPr>
        <w:spacing w:after="0" w:before="0"/>
      </w:pPr>
      <w:r>
        <w:t xml:space="preserve"/>
      </w:r>
    </w:p>
    <w:p>
      <w:pPr>
        <w:pStyle w:val="Heading2"/>
        <w:spacing w:after="80" w:before="300"/>
      </w:pPr>
      <w:r>
        <w:rPr>
          <w:rFonts w:ascii="Arial" w:cs="Arial" w:eastAsia="Arial" w:hAnsi="Arial"/>
          <w:b/>
          <w:bCs/>
          <w:color w:val="2E4B6E"/>
          <w:sz w:val="26"/>
          <w:szCs w:val="26"/>
        </w:rPr>
        <w:t xml:space="preserve">IV.1  LLM Call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Trigger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Fires once per session after narrative prompt response is received.</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Input to LLM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System prompt (see IV.1.1) + principal's narrative response text only. Does not include prior question answers.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Required LLM output fields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 identified_signals: [ { dimension: string, axis: string (liability|asset), signal_text: string, confidence: float 0.0–1.0 } ], severity_indicators: [ { indicator_text: string, confidence: float } ], overall_confidence: float 0.0–1.0 }</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Configurable. Default: same LLM tier as production environment. Specification document does not lock model version.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0.2. Low temperature for clinical signal extraction, not generative creativity.</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Max tokens response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500 tokens maximum for LLM response. Signal extraction, not narrative generation.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spacing w:after="60" w:before="200"/>
      </w:pPr>
      <w:r>
        <w:rPr>
          <w:rFonts w:ascii="Arial" w:cs="Arial" w:eastAsia="Arial" w:hAnsi="Arial"/>
          <w:b/>
          <w:bCs/>
          <w:color w:val="2E4B6E"/>
          <w:sz w:val="22"/>
          <w:szCs w:val="22"/>
        </w:rPr>
        <w:t xml:space="preserve">IV.1.1  LLM System Prompt — Specification</w:t>
      </w:r>
    </w:p>
    <w:p>
      <w:pPr>
        <w:spacing w:after="60" w:before="60"/>
      </w:pPr>
      <w:r>
        <w:rPr>
          <w:rFonts w:ascii="Arial" w:cs="Arial" w:eastAsia="Arial" w:hAnsi="Arial"/>
          <w:sz w:val="20"/>
          <w:szCs w:val="20"/>
        </w:rPr>
        <w:t xml:space="preserve">The system prompt instructs the LLM to act as a signal extraction engine, not a conversational AI. The prompt must specify:</w:t>
      </w:r>
    </w:p>
    <w:p>
      <w:pPr>
        <w:spacing w:after="0" w:before="0"/>
      </w:pPr>
      <w:r>
        <w:t xml:space="preserve"/>
      </w:r>
    </w:p>
    <w:p>
      <w:pPr>
        <w:spacing w:after="60" w:before="60"/>
      </w:pPr>
      <w:r>
        <w:rPr>
          <w:rFonts w:ascii="Arial" w:cs="Arial" w:eastAsia="Arial" w:hAnsi="Arial"/>
          <w:sz w:val="20"/>
          <w:szCs w:val="20"/>
        </w:rPr>
        <w:t xml:space="preserve">(a) Role: Extract dimensional liability and asset signals from the text. Return only structured JSON. Do not interpret intent. Do not generate narrative.</w:t>
      </w:r>
    </w:p>
    <w:p>
      <w:pPr>
        <w:spacing w:after="60" w:before="60"/>
      </w:pPr>
      <w:r>
        <w:rPr>
          <w:rFonts w:ascii="Arial" w:cs="Arial" w:eastAsia="Arial" w:hAnsi="Arial"/>
          <w:sz w:val="20"/>
          <w:szCs w:val="20"/>
        </w:rPr>
        <w:t xml:space="preserve">(b) Signal vocabulary: Provide the four dimension names (Aptitude, Authority, Alliance, Attitude) and the liability/asset axis definitions. Do not provide state names — signal extraction must be axis-level, not state-level.</w:t>
      </w:r>
    </w:p>
    <w:p>
      <w:pPr>
        <w:spacing w:after="60" w:before="60"/>
      </w:pPr>
      <w:r>
        <w:rPr>
          <w:rFonts w:ascii="Arial" w:cs="Arial" w:eastAsia="Arial" w:hAnsi="Arial"/>
          <w:sz w:val="20"/>
          <w:szCs w:val="20"/>
        </w:rPr>
        <w:t xml:space="preserve">(c) Confidence instruction: Assign confidence based on signal specificity and observational directness. A principal who names a specific condition, names a person, or describes a pattern with duration gets high confidence. Vague or general description gets low confidence.</w:t>
      </w:r>
    </w:p>
    <w:p>
      <w:pPr>
        <w:spacing w:after="60" w:before="60"/>
      </w:pPr>
      <w:r>
        <w:rPr>
          <w:rFonts w:ascii="Arial" w:cs="Arial" w:eastAsia="Arial" w:hAnsi="Arial"/>
          <w:sz w:val="20"/>
          <w:szCs w:val="20"/>
        </w:rPr>
        <w:t xml:space="preserve">(d) Output format: JSON only. No preamble. No explanation. Exact schema as specified in IV.1 required LLM output fields.</w:t>
      </w:r>
    </w:p>
    <w:p>
      <w:pPr>
        <w:spacing w:after="60" w:before="60"/>
      </w:pPr>
      <w:r>
        <w:rPr>
          <w:rFonts w:ascii="Arial" w:cs="Arial" w:eastAsia="Arial" w:hAnsi="Arial"/>
          <w:sz w:val="20"/>
          <w:szCs w:val="20"/>
        </w:rPr>
        <w:t xml:space="preserve">(e) Ceiling awareness: The LLM is not told about the ceiling parameters — these are applied downstream in IV.3. The LLM provides raw confidence scores.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before="0"/>
            </w:pPr>
            <w:r>
              <w:rPr>
                <w:rFonts w:ascii="Arial" w:cs="Arial" w:eastAsia="Arial" w:hAnsi="Arial"/>
                <w:i/>
                <w:iCs/>
                <w:sz w:val="18"/>
                <w:szCs w:val="18"/>
              </w:rPr>
              <w:t xml:space="preserve">The system prompt copy is not finalized in this specification document. It is a build task for Claude Code, following the above specification. Gemini should review the system prompt draft before it is used in the engine.</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IV.2  Variable Weight Application</w:t>
      </w:r>
    </w:p>
    <w:p>
      <w:pPr>
        <w:spacing w:after="60" w:before="60"/>
      </w:pPr>
      <w:r>
        <w:rPr>
          <w:rFonts w:ascii="Arial" w:cs="Arial" w:eastAsia="Arial" w:hAnsi="Arial"/>
          <w:sz w:val="20"/>
          <w:szCs w:val="20"/>
        </w:rPr>
        <w:t xml:space="preserve">LLM-extracted signals are converted to a modulation vector and applied to the accumulated answer vector. The modulation is weighted by LLM confidence.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Modulation direction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Confirmation and elevation only. The narrative modulation vector can only move the accumulated vector toward states already showing signal. It cannot introduce new state probability for a state with zero prior accumulation.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 probability ceiling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12%. The narrative modulation cannot increase any single state's share of the final distribution by more than 12 percentage points. Applied after normalization.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 ceiling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25%. The narrative modulation cannot increase the severity score by more than 25 points on the severity scale. Applied after severity calculation in Section V.</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Floor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Near zero. If overall_confidence from LLM is below 0.15, the modulation vector contribution is set to zero. Threshold 0.15 is a calibration target.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Weight formula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modulation_weight = overall_confidence * signal_confidence[i] for each individual signal. Vector contribution = answer_vector_equivalent(signal) * modulation_weight.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Normalization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Modulation weight is gated by signal confidence, not response length. A long ambiguous response carries less weight than a short precise one.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IV.3  Normalization Mechanism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Post-modulation normalization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After narrative modulation vector is added to accumulated vector, re-calculate Euclidean distances (Section II.4) using updated accumulated vector. Re-rank all 45 states.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Ceiling enforcement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After re-ranking, check state probability ceiling: if any state's share increased by more than 12 percentage points relative to pre-narrative distribution, cap at 12 point maximum increase. Re-normalize.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 ceiling enforcement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Apply severity ceiling (25 point cap) after Section V severity calculation. Not applied during normalization — applied at output stage.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r>
        <w:br w:type="page"/>
      </w:r>
    </w:p>
    <w:p>
      <w:pPr>
        <w:pStyle w:val="Heading1"/>
        <w:spacing w:after="120" w:before="480"/>
      </w:pPr>
      <w:r>
        <w:rPr>
          <w:rFonts w:ascii="Arial" w:cs="Arial" w:eastAsia="Arial" w:hAnsi="Arial"/>
          <w:b/>
          <w:bCs/>
          <w:color w:val="1A1A2E"/>
          <w:sz w:val="32"/>
          <w:szCs w:val="32"/>
        </w:rPr>
        <w:t xml:space="preserve">Section V: Severity Engine</w:t>
      </w:r>
    </w:p>
    <w:p>
      <w:pPr>
        <w:spacing w:after="60" w:before="60"/>
      </w:pPr>
      <w:r>
        <w:rPr>
          <w:rFonts w:ascii="Arial" w:cs="Arial" w:eastAsia="Arial" w:hAnsi="Arial"/>
          <w:i/>
          <w:iCs/>
          <w:color w:val="555555"/>
          <w:sz w:val="20"/>
          <w:szCs w:val="20"/>
        </w:rPr>
        <w:t xml:space="preserve">Severity is an independent dimension. It is calculated orthogonally to state identification. A state's severity is not a property of the state — it is a property of the condition as the principal's organization is experiencing it. High asset score does not lower severity (P-05).</w:t>
      </w:r>
    </w:p>
    <w:p>
      <w:pPr>
        <w:spacing w:after="0" w:before="0"/>
      </w:pPr>
      <w:r>
        <w:t xml:space="preserve"/>
      </w:r>
    </w:p>
    <w:p>
      <w:pPr>
        <w:pStyle w:val="Heading2"/>
        <w:spacing w:after="80" w:before="300"/>
      </w:pPr>
      <w:r>
        <w:rPr>
          <w:rFonts w:ascii="Arial" w:cs="Arial" w:eastAsia="Arial" w:hAnsi="Arial"/>
          <w:b/>
          <w:bCs/>
          <w:color w:val="2E4B6E"/>
          <w:sz w:val="26"/>
          <w:szCs w:val="26"/>
        </w:rPr>
        <w:t xml:space="preserve">V.1  Severity Accumulation Inputs</w:t>
      </w:r>
    </w:p>
    <w:p>
      <w:pPr>
        <w:spacing w:after="60" w:before="60"/>
      </w:pPr>
      <w:r>
        <w:rPr>
          <w:rFonts w:ascii="Arial" w:cs="Arial" w:eastAsia="Arial" w:hAnsi="Arial"/>
          <w:sz w:val="20"/>
          <w:szCs w:val="20"/>
        </w:rPr>
        <w:t xml:space="preserve">Severity accumulation collects inputs from the conditional severity follow-on questions (SEVER-01 through SEVER-12). These fire when a core sequence question's severity_trigger flag is True and the principal's answer selects a severity_trigger = True option.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Input</w:t>
            </w:r>
          </w:p>
        </w:tc>
        <w:tc>
          <w:tcPr>
            <w:tcW w:type="dxa" w:w="3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Specification</w:t>
            </w:r>
          </w:p>
        </w:tc>
        <w:tc>
          <w:tcPr>
            <w:tcW w:type="dxa" w:w="18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Weight</w:t>
            </w:r>
          </w:p>
        </w:tc>
        <w:tc>
          <w:tcPr>
            <w:tcW w:type="dxa" w:w="18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Duration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How long has the condition been present? Banded: 0–6 months / 6–18 months / 18+ months</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0–6mo: 1.0x | 6–18mo: 1.5x | 18+mo: 2.0x</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Downstream population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Proportion of reported headcount affected by the condition. Banded: &lt;10% / 10–30% / 30%+</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 (band weights not yet set)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Prior failed resolution attempts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Has the condition been identified and addressed before without resolution? Carries highest severity weight of all inputs.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Highest weight — calibration target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Financial indicators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Are there financial consequences already present? Cost of turnover, legal exposure, revenue impact signals.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Named vs. unnamed condition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Has the condition been identified and named internally? Named condition = leadership awareness present. Weighted input — exact value calibration target.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Calibration target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V.2  Multiplicative Interaction Rule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Interaction 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Duration weight and downstream population weight are multiplicative: combined_severity = duration_weight * population_weight * base_score. Other inputs are additive to the combined severity total.</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Endemic cap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Severity cannot exceed the Endemic ceiling regardless of multiplicative interaction. There is no severity beyond Endemic — the tiers are the ceiling. Combined severity score maps to Emerging / Entrenched / Endemic via calibrated band thresholds.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Band thresholds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Emerging: score 0.0–X. Entrenched: X–Y. Endemic: Y–1.0. X and Y are calibration targets. Set via Phase 1 test suite: identify profiles that clearly represent Entrenched and Endemic conditions by construct, reverse-calculate the score thresholds that correctly classify them.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Asset score relationship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High asset score does not lower severity. Asset score is the resolution anchor, not a severity modifier. The asset score appears in output as the resolution pathway signal, separate from severity classification.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Narrative modulation severity ceiling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Narrative modulation can increase severity by a maximum of 25 severity points (on a normalized 0–100 scale). Applied at output stage after severity calculation.</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V.3  Severity Tier Behavioral Anchors</w:t>
      </w:r>
    </w:p>
    <w:p>
      <w:pPr>
        <w:spacing w:after="60" w:before="60"/>
      </w:pPr>
      <w:r>
        <w:rPr>
          <w:rFonts w:ascii="Arial" w:cs="Arial" w:eastAsia="Arial" w:hAnsi="Arial"/>
          <w:sz w:val="20"/>
          <w:szCs w:val="20"/>
        </w:rPr>
        <w:t xml:space="preserve">These definitions are the output copy for severity classification. They are fixed — the engine does not generate these descriptions.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Emerging</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Something is wrong and you can see it. It hasn't settled into the organization yet. The consequences are coming but haven't fully arrived. This is the easiest moment to move.</w:t>
            </w:r>
          </w:p>
        </w:tc>
      </w:tr>
      <w:tr>
        <w:tc>
          <w:tcPr>
            <w:tcW w:type="dxa" w:w="16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Entrenched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The condition has been here long enough that people have stopped treating it as a problem to solve. Workarounds exist. Expectations have adjusted. The organization has absorbed it without resolving it.</w:t>
            </w:r>
          </w:p>
        </w:tc>
      </w:tr>
      <w:tr>
        <w:tc>
          <w:tcPr>
            <w:tcW w:type="dxa" w:w="16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Endemic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This is how the organization works now. The condition isn't something that happens inside the organization anymore. It is part of the operating environment itself. People make decisions inside it without questioning it. Resolution means changing the environment, not just addressing the condition.</w:t>
            </w:r>
          </w:p>
        </w:tc>
      </w:tr>
    </w:tbl>
    <w:p>
      <w:pPr>
        <w:spacing w:after="0" w:before="0"/>
      </w:pPr>
      <w:r>
        <w:t xml:space="preserve"/>
      </w:r>
    </w:p>
    <w:p>
      <w:r>
        <w:br w:type="page"/>
      </w:r>
    </w:p>
    <w:p>
      <w:pPr>
        <w:pStyle w:val="Heading1"/>
        <w:spacing w:after="120" w:before="480"/>
      </w:pPr>
      <w:r>
        <w:rPr>
          <w:rFonts w:ascii="Arial" w:cs="Arial" w:eastAsia="Arial" w:hAnsi="Arial"/>
          <w:b/>
          <w:bCs/>
          <w:color w:val="1A1A2E"/>
          <w:sz w:val="32"/>
          <w:szCs w:val="32"/>
        </w:rPr>
        <w:t xml:space="preserve">Section VI: Output Engine</w:t>
      </w:r>
    </w:p>
    <w:p>
      <w:pPr>
        <w:spacing w:after="60" w:before="60"/>
      </w:pPr>
      <w:r>
        <w:rPr>
          <w:rFonts w:ascii="Arial" w:cs="Arial" w:eastAsia="Arial" w:hAnsi="Arial"/>
          <w:i/>
          <w:iCs/>
          <w:color w:val="555555"/>
          <w:sz w:val="20"/>
          <w:szCs w:val="20"/>
        </w:rPr>
        <w:t xml:space="preserve">The output engine takes the final state distribution (post-narrative modulation), the severity score, and the asset score and produces two outputs: private and shareable. The private output is confrontational and direct. The shareable output is professional and credible. Both outputs are generated from the same session data.</w:t>
      </w:r>
    </w:p>
    <w:p>
      <w:pPr>
        <w:spacing w:after="0" w:before="0"/>
      </w:pPr>
      <w:r>
        <w:t xml:space="preserve"/>
      </w:r>
    </w:p>
    <w:p>
      <w:pPr>
        <w:pStyle w:val="Heading2"/>
        <w:spacing w:after="80" w:before="300"/>
      </w:pPr>
      <w:r>
        <w:rPr>
          <w:rFonts w:ascii="Arial" w:cs="Arial" w:eastAsia="Arial" w:hAnsi="Arial"/>
          <w:b/>
          <w:bCs/>
          <w:color w:val="2E4B6E"/>
          <w:sz w:val="26"/>
          <w:szCs w:val="26"/>
        </w:rPr>
        <w:t xml:space="preserve">VI.1  Signal Floor Application</w:t>
      </w:r>
    </w:p>
    <w:p>
      <w:pPr>
        <w:spacing w:after="60" w:before="60"/>
      </w:pPr>
      <w:r>
        <w:rPr>
          <w:rFonts w:ascii="Arial" w:cs="Arial" w:eastAsia="Arial" w:hAnsi="Arial"/>
          <w:sz w:val="20"/>
          <w:szCs w:val="20"/>
        </w:rPr>
        <w:t xml:space="preserve">Before generating output, the engine applies the signal floor filter. States below the floor do not appear in output regardless of relative ranking.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Signal floor definition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 state must score at least 15% above the score it would receive if all answers were randomized (the noise baseline). States below this floor are not output even if they are the top-ranked state.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Noise baseline calculation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For each state, simulate 1,000 randomized answer sets and calculate average similarity score. Noise baseline = that average. Signal floor = noise baseline * 1.15.</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All-below-floor condition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If no state clears the signal floor, the engine does not produce a state identification output. Output instead: the narrative prompt fires (if not already fired) and the output states that the diagnostic requires additional context. This edge case should be rare — flag if it occurs frequently in Phase 1 testing.</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VI.2  Single-State Output Format</w:t>
      </w:r>
    </w:p>
    <w:p>
      <w:pPr>
        <w:spacing w:after="60" w:before="60"/>
      </w:pPr>
      <w:r>
        <w:rPr>
          <w:rFonts w:ascii="Arial" w:cs="Arial" w:eastAsia="Arial" w:hAnsi="Arial"/>
          <w:sz w:val="20"/>
          <w:szCs w:val="20"/>
        </w:rPr>
        <w:t xml:space="preserve">When one state clears the signal floor and has meaningful separation from the second-ranked state (separation threshold is a calibration target), single-state output fires.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Separation threshold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The score gap between rank 1 and rank 2 required to trigger single-state output. Calibration target — set after Phase 1 via ROC analysis: threshold that maximizes precision without excessive multi-state output rate.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 identification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State name. Severity tier. Asset score.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Private output structure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 State name — named directly, no softening. 2. Severity tier behavioral anchor text (locked in V.3). 3. Liability condition described in the principal's observed organizational context. 4. Asset score as resolution anchor — what strength exists to build from. 5. Resolution family routing.</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Shareable output structure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 State name and severity tier. 2. Framing language for external credibility (professional, non-confrontational). 3. Observable indicators the principal can share with leadership or a board. 4. Resolution family routing. No liability language that would be inappropriate in a shared document.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VI.3  Multi-State Output Format</w:t>
      </w:r>
    </w:p>
    <w:p>
      <w:pPr>
        <w:spacing w:after="60" w:before="60"/>
      </w:pPr>
      <w:r>
        <w:rPr>
          <w:rFonts w:ascii="Arial" w:cs="Arial" w:eastAsia="Arial" w:hAnsi="Arial"/>
          <w:sz w:val="20"/>
          <w:szCs w:val="20"/>
        </w:rPr>
        <w:t xml:space="preserve">When two or more states clear the signal floor and the separation between them is below the separation threshold, multi-state output fires.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 cap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 cap. All states above the signal floor appear.</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Minimum states for multi-state output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2. Single state below threshold is handled by single-state output with lower confidence language, not multi-state format.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Per-state distinguishing language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Each state in the multi-state output includes language specific to that state that helps the principal recognize whether their situation aligns more closely with it. This language references the observable signals that differentiate the states from each other — not generic state descriptions. This is LLM-generated at output time with the current top N states as input.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 in multi-state output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Severity is calculated and reported once, independent of state ambiguity. The condition's severity does not depend on which state it resolves to.</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Asset score in multi-state output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Asset score reported once. Identifies which resolution capacity is most relevant across the state candidates.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VI.4  Private Output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Opening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State name named directly. No preamble. Example structure: '[State Name]. [Severity tier behavioral anchor text].'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Liability condition block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The condition described in terms of what is happening in the principal's organization. References signals from the diagnostic sequence. Clinical and direct.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Asset resolution anchor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Asset score and its resolution implication. Appears after the liability condition block — it does not precede or soften the verdict.</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Resolution routing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One of the five service offerings named with brief framing of why this route fits this condition at this severity.</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Friction Tax estimate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Economic visibility component. P-09. Estimate of the cost of the identified condition in the principal's organization. Calculation methodology is a separate specification task (not in this document).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VI.5  Shareable Output Structure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Framing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Professional. Suitable for sharing with board members, investors, or senior leadership team. Not confrontational. Does not name individuals.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Observable indicators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Behavioral and operational indicators visible to the principal's organizational context. Source: signal map observable signals for the identified state.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Resolution framing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Resolution pathway described in terms of organizational benefit and leadership action. Not liability language.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Attribution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References PRV3 instrument and diagnostic methodology. Does not reproduce private output language.</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r>
        <w:br w:type="page"/>
      </w:r>
    </w:p>
    <w:p>
      <w:pPr>
        <w:pStyle w:val="Heading1"/>
        <w:spacing w:after="120" w:before="480"/>
      </w:pPr>
      <w:r>
        <w:rPr>
          <w:rFonts w:ascii="Arial" w:cs="Arial" w:eastAsia="Arial" w:hAnsi="Arial"/>
          <w:b/>
          <w:bCs/>
          <w:color w:val="1A1A2E"/>
          <w:sz w:val="32"/>
          <w:szCs w:val="32"/>
        </w:rPr>
        <w:t xml:space="preserve">Section VII: Engine Output Specification</w:t>
      </w:r>
    </w:p>
    <w:p>
      <w:pPr>
        <w:spacing w:after="60" w:before="60"/>
      </w:pPr>
      <w:r>
        <w:rPr>
          <w:rFonts w:ascii="Arial" w:cs="Arial" w:eastAsia="Arial" w:hAnsi="Arial"/>
          <w:i/>
          <w:iCs/>
          <w:color w:val="555555"/>
          <w:sz w:val="20"/>
          <w:szCs w:val="20"/>
        </w:rPr>
        <w:t xml:space="preserve">This section defines the complete data structure the engine returns. It is the interface contract between the scoring engine and everything downstream — the test suite, the output renderer, and any future integrations. Claude Code builds to this contract exactly.</w:t>
      </w:r>
    </w:p>
    <w:p>
      <w:pPr>
        <w:spacing w:after="0" w:before="0"/>
      </w:pPr>
      <w:r>
        <w:t xml:space="preserve"/>
      </w:r>
    </w:p>
    <w:p>
      <w:pPr>
        <w:pStyle w:val="Heading2"/>
        <w:spacing w:after="80" w:before="300"/>
      </w:pPr>
      <w:r>
        <w:rPr>
          <w:rFonts w:ascii="Arial" w:cs="Arial" w:eastAsia="Arial" w:hAnsi="Arial"/>
          <w:b/>
          <w:bCs/>
          <w:color w:val="2E4B6E"/>
          <w:sz w:val="26"/>
          <w:szCs w:val="26"/>
        </w:rPr>
        <w:t xml:space="preserve">VII.1  Engine Output Data Structure</w:t>
      </w:r>
    </w:p>
    <w:p>
      <w:pPr>
        <w:spacing w:after="0" w:before="0"/>
      </w:pPr>
      <w:r>
        <w:t xml:space="preserve"/>
      </w:r>
    </w:p>
    <w:p>
      <w:pPr>
        <w:spacing w:after="60" w:before="60"/>
      </w:pPr>
      <w:r>
        <w:rPr>
          <w:rFonts w:ascii="Arial" w:cs="Arial" w:eastAsia="Arial" w:hAnsi="Arial"/>
          <w:sz w:val="20"/>
          <w:szCs w:val="20"/>
        </w:rPr>
        <w:t xml:space="preserve">The engine returns a single JSON object with the following top-level fields: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Field</w:t>
            </w:r>
          </w:p>
        </w:tc>
        <w:tc>
          <w:tcPr>
            <w:tcW w:type="dxa" w:w="51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Type and Content</w:t>
            </w:r>
          </w:p>
        </w:tc>
        <w:tc>
          <w:tcPr>
            <w:tcW w:type="dxa" w:w="18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session_id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Unique identifier for this diagnostic session.</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intake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All six intake field values as submitted.</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state_distribution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Array. All 45 states with final similarity scores, sorted descending. Each entry: { state_id, state_name, score: float, rank: integer, above_floor: boolean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output_type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Enum: single_state | multi_state | no_signal. Determined by signal floor and separation threshold logic in Section VI.</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identified_states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Array. States included in the output (1 for single_state, N for multi_state, empty for no_signal). Each entry: { state_id, state_name, score, distinguishing_language: string or null (null for single-state output)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tier: Enum Emerging|Entrenched|Endemic, score: float, anchor_text: string (from V.3), inputs: { duration_band, population_band, prior_attempts: boolean, financial_indicators_present: boolean, named_condition: boolean }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asset_score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score: float 0.0–1.0, primary_asset_domain: string (from Leadership Competency Framework), resolution_anchor_text: string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narrative_modulation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fired: boolean, trigger_point: Enum Q27|Q34|null, overall_confidence: float, signals_extracted: integer, state_delta: float (score change post-modulation), severity_delta: float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checkpoint_log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q11: { entropy: float, threshold: float, threshold_exceeded: boolean, distinguisher_fired: boolean }, q19: { ... }, q27: { ... }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jurisdiction_flags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transparency: boolean, retaliation: boolean, procedural: boolean, applied_multipliers: array of { multiplier_id, axis, value }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private_output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opening_text: string, liability_block: string, asset_anchor_text: string, resolution_routing: string, friction_tax_estimate: float or null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shareable_output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Object: { framing_text: string, observable_indicators: array of strings, resolution_framing: string, attribution_text: string }</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engine_version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String. Semantic version of the scoring engine that produced this output.</w:t>
            </w:r>
          </w:p>
        </w:tc>
        <w:tc>
          <w:tcPr>
            <w:tcW w:type="dxa" w:w="18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VII.2  Test Suite Interface Contract</w:t>
      </w:r>
    </w:p>
    <w:p>
      <w:pPr>
        <w:spacing w:after="60" w:before="60"/>
      </w:pPr>
      <w:r>
        <w:rPr>
          <w:rFonts w:ascii="Arial" w:cs="Arial" w:eastAsia="Arial" w:hAnsi="Arial"/>
          <w:sz w:val="20"/>
          <w:szCs w:val="20"/>
        </w:rPr>
        <w:t xml:space="preserve">The Phase 1 test suite validates the engine against this output contract. A test case is a set of simulated intake + question answers. The test suite evaluates whether the engine output object matches expected values within specified tolerances.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W w:type="dxa" w:w="2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55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Value / Specification</w:t>
            </w:r>
          </w:p>
        </w:tc>
        <w:tc>
          <w:tcPr>
            <w:tcW w:type="dxa" w:w="14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Test case 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 test_id: string, description: string, intake: object, answers: array of { question_id, selected_option_ids }, expected_output: { output_type, identified_states: array of state_ids, severity_tier, asset_domain } }</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Phase 1 test profile types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Three profiles per state minimum: high-confidence (clear single state signal), moderate (signal present with noise), weak (signal near floor threshold). Total minimum: 135 test profiles across 45 states.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Pass criteria — state identification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High-confidence profile: correct state in rank 1, output_type single_state. Moderate profile: correct state in top 3, correct output_type. Weak profile: correct state above floor, or correct no_signal classification if below floor.</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Pass criteria — severity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Correct tier classification for all profile types. Tolerance: Emerging/Entrenched boundary may be +/- 1 tier if the profile is designed at the boundary.</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targets from Phase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Confusion Matrix per state. Misclassification pairs drive dimensional salience weight adjustment. Entropy threshold calibration from checkpoint activation frequency. Prior probability multiplier values from event-conditioned test profiles.</w:t>
            </w:r>
          </w:p>
        </w:tc>
        <w:tc>
          <w:tcPr>
            <w:tcW w:type="dxa" w:w="1400"/>
            <w:tcBorders>
              <w:top w:val="single" w:color="CCCCCC" w:sz="1"/>
              <w:left w:val="single" w:color="CCCCCC" w:sz="1"/>
              <w:bottom w:val="single" w:color="CCCCCC" w:sz="1"/>
              <w:right w:val="single" w:color="CCCCCC" w:sz="1"/>
            </w:tcBorders>
            <w:shd w:fill="D6E8D0"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LOCKED</w:t>
            </w:r>
          </w:p>
        </w:tc>
      </w:tr>
    </w:tbl>
    <w:p>
      <w:pPr>
        <w:spacing w:after="0" w:before="0"/>
      </w:pPr>
      <w:r>
        <w:t xml:space="preserve"/>
      </w:r>
    </w:p>
    <w:p>
      <w:pPr>
        <w:pStyle w:val="Heading2"/>
        <w:spacing w:after="80" w:before="300"/>
      </w:pPr>
      <w:r>
        <w:rPr>
          <w:rFonts w:ascii="Arial" w:cs="Arial" w:eastAsia="Arial" w:hAnsi="Arial"/>
          <w:b/>
          <w:bCs/>
          <w:color w:val="2E4B6E"/>
          <w:sz w:val="26"/>
          <w:szCs w:val="26"/>
        </w:rPr>
        <w:t xml:space="preserve">VII.3  Calibration Target Registry</w:t>
      </w:r>
    </w:p>
    <w:p>
      <w:pPr>
        <w:spacing w:after="60" w:before="60"/>
      </w:pPr>
      <w:r>
        <w:rPr>
          <w:rFonts w:ascii="Arial" w:cs="Arial" w:eastAsia="Arial" w:hAnsi="Arial"/>
          <w:sz w:val="20"/>
          <w:szCs w:val="20"/>
        </w:rPr>
        <w:t xml:space="preserve">All parameters in this document marked CALIBRATION TARGET are listed here. Each entry records the parameter, its current placeholder value (if any), and the calibration methodology.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Parameter</w:t>
            </w:r>
          </w:p>
        </w:tc>
        <w:tc>
          <w:tcPr>
            <w:tcW w:type="dxa" w:w="18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Placeholder Value</w:t>
            </w:r>
          </w:p>
        </w:tc>
        <w:tc>
          <w:tcPr>
            <w:tcW w:type="dxa" w:w="316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Calibration Methodology</w:t>
            </w:r>
          </w:p>
        </w:tc>
        <w:tc>
          <w:tcPr>
            <w:tcW w:type="dxa" w:w="2200"/>
            <w:tcBorders>
              <w:top w:val="single" w:color="CCCCCC" w:sz="1"/>
              <w:left w:val="single" w:color="CCCCCC" w:sz="1"/>
              <w:bottom w:val="single" w:color="CCCCCC" w:sz="1"/>
              <w:right w:val="single" w:color="CCCCCC" w:sz="1"/>
            </w:tcBorders>
            <w:shd w:fill="2E4B6E"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Section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Dimensional salience weights per state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0.25 equal weight (all 8 fields)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Confusion Matrix analysis of Phase 1 misclassification data. For each misclassified state pair, increase dimensional salience weight for the distinguishing dimension.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II.4</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Prior probability multipliers — significant events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Hypotheses in I.3.1 — not numerically 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event-conditioned test profiles. Compare state rank distribution with vs. without event flags. Set multiplier to value that most improves rank-1 accuracy for flagged states.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I.3.1, II.1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Founder-led org type multiplier</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Elevated — exact value not 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founder-led organization profiles. Same methodology as event multipliers.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I.3.2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Transparency jurisdiction multiplier</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1.3x (soft hypothesis)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Legal review of current pay transparency statutes. NY exposure curve requires 2024–2025 case and enforcement data. Revise before engine goes to 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I.4</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Confidence coefficient values per role-axis combination</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Starting hypotheses in II.3.1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validation by role subset. Compare state identification accuracy with coefficients applied vs. all-1.0 baseline. Adjust in direction that reduces misclassification.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II.3.1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Narrative modulation floor threshold</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0.15 overall_confidence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narrative response test profiles. Measure false positive signal extraction rate at threshold. Adjust to minimize false positives without suppressing genuine high-confidence signals.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IV.2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Shannon Entropy thresholds (Q11, Q19, Q27)</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0.6 / 0.4 / 0.2 bits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track narrative prompt trigger frequency and misclassification rate. If narrative fires too often at Q27, loosen Q27 threshold. If early misclassification is high, tighten Q11.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III.1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Downstream population band weights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Not 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severity validation profiles designed to represent each population band. Reverse-calculate weights from expert-assessed severity classification of profiles.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V.1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Prior failed resolution attempts weight</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Highest weight — not set numerically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Same methodology as population band weights. This input should carry more weight than duration — validate by expert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V.1</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Severity band thresholds (Emerging/Entrenched/Endemic)</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Not 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identify test profiles that clearly represent each tier by construct. Reverse-calculate the score thresholds that correctly classify them. ROC analysis for boundary optimization.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V.2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Single-state vs. multi-state separation threshold</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Not 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Phase 1: run all test profiles and examine rank 1 vs. rank 2 score gaps at correct vs. incorrect identifications. Set threshold to maximize precision without excessive multi-state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VI.2</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bCs/>
                <w:i w:val="false"/>
                <w:iCs w:val="false"/>
                <w:sz w:val="18"/>
                <w:szCs w:val="18"/>
              </w:rPr>
              <w:t xml:space="preserve">Retaliation and Procedural jurisdiction Boolean values</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Not set — legal review 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Legal review of current statutes in CA, CO, NY, WA, IL, MA and all other US states. Must be completed by legal counsel before engine handles jurisdiction-sensitive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sz w:val="18"/>
                <w:szCs w:val="18"/>
              </w:rPr>
              <w:t xml:space="preserve">I.4</w:t>
            </w:r>
          </w:p>
        </w:tc>
      </w:tr>
    </w:tbl>
    <w:p>
      <w:pPr>
        <w:spacing w:after="0" w:before="0"/>
      </w:pPr>
      <w:r>
        <w:t xml:space="preserve"/>
      </w:r>
    </w:p>
    <w:p>
      <w:pPr>
        <w:spacing w:after="0" w:before="0"/>
      </w:pPr>
      <w:r>
        <w:t xml:space="preserve"/>
      </w:r>
    </w:p>
    <w:p>
      <w:pPr>
        <w:pBdr>
          <w:bottom w:val="single" w:color="CCCCCC" w:sz="4" w:space="1"/>
        </w:pBdr>
        <w:spacing w:after="120" w:before="120"/>
      </w:pPr>
      <w:r>
        <w:t xml:space="preserve"/>
      </w:r>
    </w:p>
    <w:p>
      <w:pPr>
        <w:spacing w:after="0" w:before="0"/>
      </w:pPr>
      <w:r>
        <w:t xml:space="preserve"/>
      </w:r>
    </w:p>
    <w:p>
      <w:pPr>
        <w:spacing w:after="60" w:before="60"/>
        <w:jc w:val="center"/>
      </w:pPr>
      <w:r>
        <w:rPr>
          <w:rFonts w:ascii="Arial" w:cs="Arial" w:eastAsia="Arial" w:hAnsi="Arial"/>
          <w:i/>
          <w:iCs/>
          <w:color w:val="999999"/>
          <w:sz w:val="18"/>
          <w:szCs w:val="18"/>
        </w:rPr>
        <w:t xml:space="preserve">End of Specification Document</w:t>
      </w:r>
    </w:p>
    <w:p>
      <w:pPr>
        <w:spacing w:after="60" w:before="0"/>
        <w:jc w:val="center"/>
      </w:pPr>
      <w:r>
        <w:rPr>
          <w:rFonts w:ascii="Arial" w:cs="Arial" w:eastAsia="Arial" w:hAnsi="Arial"/>
          <w:i/>
          <w:iCs/>
          <w:color w:val="999999"/>
          <w:sz w:val="18"/>
          <w:szCs w:val="18"/>
        </w:rPr>
        <w:t xml:space="preserve">Routes to Gemini for architecture audit before Claude Code builds.</w:t>
      </w:r>
    </w:p>
    <w:p>
      <w:pPr>
        <w:spacing w:after="60" w:before="0"/>
        <w:jc w:val="center"/>
      </w:pPr>
      <w:r>
        <w:rPr>
          <w:rFonts w:ascii="Arial" w:cs="Arial" w:eastAsia="Arial" w:hAnsi="Arial"/>
          <w:i/>
          <w:iCs/>
          <w:color w:val="999999"/>
          <w:sz w:val="18"/>
          <w:szCs w:val="18"/>
        </w:rPr>
        <w:t xml:space="preserve">PRV3 Principal Brief governs. Pete confirms everything.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2026-05-03T00:43:57.577Z</dcterms:created>
  <dcterms:modified xsi:type="dcterms:W3CDTF">2026-05-03T00:43:57.577Z</dcterms:modified>
</cp:coreProperties>
</file>

<file path=docProps/custom.xml><?xml version="1.0" encoding="utf-8"?>
<Properties xmlns="http://schemas.openxmlformats.org/officeDocument/2006/custom-properties" xmlns:vt="http://schemas.openxmlformats.org/officeDocument/2006/docPropsVTypes"/>
</file>