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6232F"/>
          <w:sz w:val="32"/>
          <w:szCs w:val="32"/>
        </w:rPr>
        <w:t xml:space="preserve">Business Requirements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Transaction Anomaly Review System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32F"/>
          <w:sz w:val="20"/>
          <w:szCs w:val="20"/>
        </w:rPr>
        <w:t xml:space="preserve">Prepared by: </w:t>
      </w:r>
      <w:r>
        <w:rPr>
          <w:rFonts w:ascii="Calibri" w:cs="Calibri" w:eastAsia="Calibri" w:hAnsi="Calibri"/>
          <w:color w:val="16232F"/>
          <w:sz w:val="20"/>
          <w:szCs w:val="20"/>
        </w:rPr>
        <w:t xml:space="preserve">Rutuja Jadhav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32F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16232F"/>
          <w:sz w:val="20"/>
          <w:szCs w:val="20"/>
        </w:rPr>
        <w:t xml:space="preserve">September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32F"/>
          <w:sz w:val="20"/>
          <w:szCs w:val="20"/>
        </w:rPr>
        <w:t xml:space="preserve">Document version: </w:t>
      </w:r>
      <w:r>
        <w:rPr>
          <w:rFonts w:ascii="Calibri" w:cs="Calibri" w:eastAsia="Calibri" w:hAnsi="Calibri"/>
          <w:color w:val="16232F"/>
          <w:sz w:val="20"/>
          <w:szCs w:val="20"/>
        </w:rPr>
        <w:t xml:space="preserve">1.0 (Draft)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32F"/>
          <w:sz w:val="20"/>
          <w:szCs w:val="20"/>
        </w:rPr>
        <w:t xml:space="preserve">Status: </w:t>
      </w:r>
      <w:r>
        <w:rPr>
          <w:rFonts w:ascii="Calibri" w:cs="Calibri" w:eastAsia="Calibri" w:hAnsi="Calibri"/>
          <w:color w:val="16232F"/>
          <w:sz w:val="20"/>
          <w:szCs w:val="20"/>
        </w:rPr>
        <w:t xml:space="preserve">For review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BUSINESS OBJECTIVE</w:t>
      </w:r>
    </w:p>
    <w:p>
      <w:pPr>
        <w:spacing w:after="10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Reduce the platform's exposure to fraudulent, erroneous, or otherwise unusual financial transactions by identifying and prioritizing high-risk transactions for manual review, without materially increasing operational review workload or introducing friction for legitimate customers.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BACKGROUND</w:t>
      </w:r>
    </w:p>
    <w:p>
      <w:pPr>
        <w:spacing w:after="10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The platform processes digital payments across multiple modes (UPI, cards, net banking, wallets). Currently, unusual transactions are only caught reactively — typically after a customer complaint or a chargeback — which delays response and increases financial and reputational risk. There is no systematic, proactive mechanism to flag transactions that deviate from a customer's normal behavior at the time they occur.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STAKEHOLDERS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Risk &amp; Fraud Operations team — primary users of the review queue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Customer Support — handles downstream customer queries on flagged transactions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Product / Engineering — owns integration of scoring into the transaction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Compliance — ensures review process meets regulatory expectations for transaction monitoring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BUSINESS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BR-1: The system shall evaluate every transaction against the originating customer's own historical behavior (typical amount, typical location, typical time of day).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BR-2: The system shall assign a review-priority score to each transaction, combining rule-based behavioral signals with an independent statistical/ML anomaly check.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BR-3: Transactions exceeding a defined review-score threshold shall be routed to a prioritized queue for the Risk Operations team, rather than surfaced as raw alerts.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BR-4: The flag rate shall remain low enough (target: under 3% of volume) to keep the review queue actionable rather than overwhelming.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BR-5: Reviewers shall be able to see the specific reason(s) a transaction was flagged (e.g., unusual amount, off-home-city, odd hour), not just a binary flag.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BR-6: Review outcomes (confirmed issue / cleared as legitimate) shall be logged to support future recalibration of thresholds.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PROPOSED APPROACH</w:t>
      </w:r>
    </w:p>
    <w:p>
      <w:pPr>
        <w:spacing w:after="10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A per-customer behavioral baseline is established from historical transactions (average amount, typical city, typical hours). Each new transaction is scored against this baseline using: (a) an amount deviation (z-score) check, (b) an off-home-city flag, (c) an odd-hour flag, and (d) an independent Isolation Forest model as a cross-check against the rule-based score. Transactions meeting the combined threshold are routed to a review queue, visualized in a dashboard giving Operations a prioritized, explainable view rather than a raw data dump.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SUCCESS METRICS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Review queue captures high-value anomalies while keeping flag volume under ~3% of total transactions (pilot result: 2.16%)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Time-to-detection for unusual transactions reduced from post-complaint (reactive) to same-day (proactive)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Reviewer feedback confirms flagged reasons are clear and actionable, reducing average review time per case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OUT OF SCOPE (THIS PHASE)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Automated transaction blocking or holds — this phase is detection and review-routing only, not enforcement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Real-time streaming scoring — pilot operates on batch-scored historical data; real-time integration is a future phase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ASSUMPTIONS &amp;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Pilot analysis uses a representative synthetic dataset (800 customers, ~77,000 transactions over 6 months) standing in for production transaction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6232F"/>
          <w:sz w:val="20"/>
          <w:szCs w:val="20"/>
        </w:rPr>
        <w:t xml:space="preserve">Thresholds (z-score, review-score cutoff) are tunable and expected to be recalibrated after live review feedback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2026-09-19T16:24:53.759Z</dcterms:created>
  <dcterms:modified xsi:type="dcterms:W3CDTF">2026-09-19T16:24:53.766Z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