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28"/>
        </w:rPr>
        <w:t>Telemedicine Slot Booking &amp; Prescription Portal - Requirements Table</w:t>
      </w:r>
    </w:p>
    <w:p>
      <w:pPr>
        <w:jc w:val="center"/>
      </w:pPr>
      <w:r>
        <w:rPr>
          <w:i/>
        </w:rPr>
        <w:t>PES University | Department of CSE | Lab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2424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  <w:t>Req ID</w:t>
            </w:r>
          </w:p>
        </w:tc>
        <w:tc>
          <w:tcPr>
            <w:tcW w:type="dxa" w:w="2424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424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424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424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  <w:t>Acceptance Criteria</w:t>
            </w:r>
          </w:p>
        </w:tc>
        <w:tc>
          <w:tcPr>
            <w:tcW w:type="dxa" w:w="2424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2424"/>
          </w:tcPr>
          <w:p>
            <w:pPr>
              <w:spacing w:after="0" w:line="240" w:lineRule="auto"/>
            </w:pPr>
            <w:r>
              <w:t>FR-001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Functional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The system shall enable attending physicians to author and digitally sign structured prescriptions that are automatically compiled into downloadable PDF records.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High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Pass: PDF has valid cryptographic signature and validated physician license. Fail: generated without successful license or signature validation.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Trustworthy, portable clinical record.</w:t>
            </w:r>
          </w:p>
        </w:tc>
      </w:tr>
      <w:tr>
        <w:tc>
          <w:tcPr>
            <w:tcW w:type="dxa" w:w="2424"/>
          </w:tcPr>
          <w:p>
            <w:pPr>
              <w:spacing w:after="0" w:line="240" w:lineRule="auto"/>
            </w:pPr>
            <w:r>
              <w:t>FR-002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Functional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The system shall allow a patient to browse and search attending physicians by specialty and view verified profiles and available slots.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High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Pass: specialty filtering shows only verified physicians with bookable slots. Fail: unverified physician is bookable.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Supports informed physician selection.</w:t>
            </w:r>
          </w:p>
        </w:tc>
      </w:tr>
      <w:tr>
        <w:tc>
          <w:tcPr>
            <w:tcW w:type="dxa" w:w="2424"/>
          </w:tcPr>
          <w:p>
            <w:pPr>
              <w:spacing w:after="0" w:line="240" w:lineRule="auto"/>
            </w:pPr>
            <w:r>
              <w:t>FR-003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Functional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The system shall allow an authenticated patient to select an available video-consultation slot and create a confirmed booking.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High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Pass: booking locks the slot. Fail: two patients can book the same slot.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Core appointment capability.</w:t>
            </w:r>
          </w:p>
        </w:tc>
      </w:tr>
      <w:tr>
        <w:tc>
          <w:tcPr>
            <w:tcW w:type="dxa" w:w="2424"/>
          </w:tcPr>
          <w:p>
            <w:pPr>
              <w:spacing w:after="0" w:line="240" w:lineRule="auto"/>
            </w:pPr>
            <w:r>
              <w:t>FR-004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Functional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The system shall generate a unique, access-controlled tele-consultation room link for a confirmed appointment.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High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Pass: only the booked patient and physician can join within the permitted window. Fail: unrelated or unauthenticated user joins.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Protects consultation privacy.</w:t>
            </w:r>
          </w:p>
        </w:tc>
      </w:tr>
      <w:tr>
        <w:tc>
          <w:tcPr>
            <w:tcW w:type="dxa" w:w="2424"/>
          </w:tcPr>
          <w:p>
            <w:pPr>
              <w:spacing w:after="0" w:line="240" w:lineRule="auto"/>
            </w:pPr>
            <w:r>
              <w:t>FR-005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Functional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The system shall send booking confirmations and updates to both actors through the notification service.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Medium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Pass: both parties receive correct updates after create, cancel, or reschedule. Fail: update is absent or wrong.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Reduces missed appointments.</w:t>
            </w:r>
          </w:p>
        </w:tc>
      </w:tr>
      <w:tr>
        <w:tc>
          <w:tcPr>
            <w:tcW w:type="dxa" w:w="2424"/>
          </w:tcPr>
          <w:p>
            <w:pPr>
              <w:spacing w:after="0" w:line="240" w:lineRule="auto"/>
            </w:pPr>
            <w:r>
              <w:t>NFR-001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Nonfunctional - Security &amp; Privacy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The system shall encrypt sensitive session metadata and clinical notes with TLS 1.3 in transit and AES-256 at rest.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High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Pass: tests confirm TLS 1.3, AES-256, and rejection of expired or unauthorized links. Fail: sensitive data lacks required protection.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Protects sensitive healthcare data.</w:t>
            </w:r>
          </w:p>
        </w:tc>
      </w:tr>
      <w:tr>
        <w:tc>
          <w:tcPr>
            <w:tcW w:type="dxa" w:w="2424"/>
          </w:tcPr>
          <w:p>
            <w:pPr>
              <w:spacing w:after="0" w:line="240" w:lineRule="auto"/>
            </w:pPr>
            <w:r>
              <w:t>NFR-002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Nonfunctional - Performance &amp; Availability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Under 500 concurrent active users, 95% of search and booking requests shall complete within 2 seconds and availability shall be at least 99.5% monthly.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High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Pass: load test and monitoring meet both thresholds. Fail: either threshold is missed.</w:t>
            </w:r>
          </w:p>
        </w:tc>
        <w:tc>
          <w:tcPr>
            <w:tcW w:type="dxa" w:w="2424"/>
          </w:tcPr>
          <w:p>
            <w:pPr>
              <w:spacing w:after="0" w:line="240" w:lineRule="auto"/>
            </w:pPr>
            <w:r>
              <w:t>Ensures timely, dependable access to care.</w:t>
            </w:r>
          </w:p>
        </w:tc>
      </w:tr>
    </w:tbl>
    <w:sectPr w:rsidR="00FC693F" w:rsidRPr="0006063C" w:rsidSect="00034616">
      <w:pgSz w:w="15840" w:h="12240" w:orient="landscape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