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E2761"/>
          <w:sz w:val="40"/>
          <w:szCs w:val="40"/>
        </w:rPr>
        <w:t xml:space="preserve">Participant Worksheet</w:t>
      </w:r>
    </w:p>
    <w:p>
      <w:pPr>
        <w:spacing w:after="160"/>
      </w:pPr>
      <w:r>
        <w:rPr>
          <w:color w:val="6B7280"/>
          <w:sz w:val="22"/>
          <w:szCs w:val="22"/>
        </w:rPr>
        <w:t xml:space="preserve">Interactive BRD Construction with ChatGPT  —  15–20 minute follow-along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Your role:  </w:t>
            </w:r>
            <w:r>
              <w:rPr>
                <w:color w:val="FFFFFF"/>
                <w:sz w:val="22"/>
                <w:szCs w:val="22"/>
              </w:rPr>
              <w:t xml:space="preserve">Watch how the AI asks clarifying questions, then capture the decisions, assumptions, and open questions that emerge. You are documenting the </w:t>
            </w:r>
            <w:r>
              <w:rPr>
                <w:color w:val="FFFFFF"/>
                <w:sz w:val="22"/>
                <w:szCs w:val="22"/>
              </w:rPr>
              <w:t xml:space="preserve">method</w:t>
            </w:r>
            <w:r>
              <w:rPr>
                <w:color w:val="FFFFFF"/>
                <w:sz w:val="22"/>
                <w:szCs w:val="22"/>
              </w:rPr>
              <w:t xml:space="preserve">, not just the answers.</w:t>
            </w:r>
          </w:p>
        </w:tc>
      </w:tr>
    </w:tbl>
    <w:p>
      <w:pPr>
        <w:pStyle w:val="Heading1"/>
      </w:pPr>
      <w:r>
        <w:t xml:space="preserve">1.  Scenario Brief</w:t>
      </w:r>
    </w:p>
    <w:p>
      <w:pPr>
        <w:spacing w:after="120"/>
      </w:pPr>
      <w:r>
        <w:rPr>
          <w:color w:val="1B1F3B"/>
          <w:sz w:val="21"/>
          <w:szCs w:val="21"/>
        </w:rPr>
        <w:t xml:space="preserve">Feature: Stale Quote / Illustration Warning. Agents can save and reuse product illustrations. The enhancement warns an agent when a saved illustration may be stale because rates, product rules, state availability, required disclosures, or illustration assumptions changed since it was last calculated.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E2761"/>
          <w:sz w:val="21"/>
          <w:szCs w:val="21"/>
        </w:rPr>
        <w:t xml:space="preserve">Primary user:  </w:t>
      </w:r>
      <w:r>
        <w:rPr>
          <w:color w:val="1B1F3B"/>
          <w:sz w:val="21"/>
          <w:szCs w:val="21"/>
        </w:rPr>
        <w:t xml:space="preserve">the insurance agent.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E2761"/>
          <w:sz w:val="21"/>
          <w:szCs w:val="21"/>
        </w:rPr>
        <w:t xml:space="preserve">Business concern:  </w:t>
      </w:r>
      <w:r>
        <w:rPr>
          <w:color w:val="1B1F3B"/>
          <w:sz w:val="21"/>
          <w:szCs w:val="21"/>
        </w:rPr>
        <w:t xml:space="preserve">prevent inaccurate or non-compliant illustrations from being presented.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E2761"/>
          <w:sz w:val="21"/>
          <w:szCs w:val="21"/>
        </w:rPr>
        <w:t xml:space="preserve">Demo constraint:  </w:t>
      </w:r>
      <w:r>
        <w:rPr>
          <w:color w:val="1B1F3B"/>
          <w:sz w:val="21"/>
          <w:szCs w:val="21"/>
        </w:rPr>
        <w:t xml:space="preserve">only five high-value BRD sections are elicited live.</w:t>
      </w:r>
    </w:p>
    <w:p>
      <w:pPr>
        <w:pStyle w:val="Heading1"/>
      </w:pPr>
      <w:r>
        <w:t xml:space="preserve">2.  Opening Prompt</w:t>
      </w:r>
    </w:p>
    <w:p>
      <w:pPr>
        <w:spacing w:after="100"/>
      </w:pPr>
      <w:r>
        <w:rPr>
          <w:color w:val="1B1F3B"/>
          <w:sz w:val="21"/>
          <w:szCs w:val="21"/>
        </w:rPr>
        <w:t xml:space="preserve">This is the prompt the instructor pastes to start the session. Notice how much control it sets up in one message.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2E6" w:sz="1"/>
              <w:left w:val="single" w:color="B7740A" w:sz="18"/>
              <w:bottom w:val="single" w:color="C9D2E6" w:sz="1"/>
              <w:right w:val="single" w:color="C9D2E6" w:sz="1"/>
            </w:tcBorders>
            <w:shd w:fill="F1F4FB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Use the uploaded BRD template.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We only have 20 minutes, so run a time-boxed BRD elicitation for this feature: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7740A"/>
                <w:sz w:val="19"/>
                <w:szCs w:val="19"/>
              </w:rPr>
              <w:t xml:space="preserve">Stale Quote / Illustration Warning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Concept: agents can save and reuse product illustrations. We want the system to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warn an agent when a saved illustration may be stale because rates, product rules,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state availability, required disclosures, or assumptions changed since it was last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calculated.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Do not complete the whole BRD interactively. Interview me only for: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  1. Problem / Opportunity Statement      2. Scope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  3. Current State vs. Proposed State      4. Business Rules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  5. Acceptance Criteria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Ask one section at a time. Keep questions concise. Push back on vague answers.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Maintain a running list of assumptions and open questions.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After those sections, generate the rest of the BRD using reasonable draft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assumptions, each clearly marked “Assumed” or “To Confirm.”</w:t>
            </w:r>
          </w:p>
        </w:tc>
      </w:tr>
    </w:tbl>
    <w:p>
      <w:pPr>
        <w:pStyle w:val="Heading1"/>
      </w:pPr>
      <w:r>
        <w:t xml:space="preserve">3.  Follow-Along Worksheet</w:t>
      </w:r>
    </w:p>
    <w:p>
      <w:pPr>
        <w:spacing w:after="100"/>
      </w:pPr>
      <w:r>
        <w:rPr>
          <w:color w:val="1B1F3B"/>
          <w:sz w:val="21"/>
          <w:szCs w:val="21"/>
        </w:rPr>
        <w:t xml:space="preserve">Capture what happens as each section is elicited live.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640"/>
        <w:gridCol w:w="2640"/>
        <w:gridCol w:w="1920"/>
      </w:tblGrid>
      <w:tr>
        <w:trPr>
          <w:tblHeader/>
        </w:trPr>
        <w:tc>
          <w:tcPr>
            <w:tcW w:type="dxa" w:w="21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1E276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BRD Section</w:t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1E276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ChatGPT asked</w:t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1E276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Confirmed decision</w:t>
            </w:r>
          </w:p>
        </w:tc>
        <w:tc>
          <w:tcPr>
            <w:tcW w:type="dxa" w:w="192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1E276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Open questions</w:t>
            </w:r>
          </w:p>
        </w:tc>
      </w:tr>
      <w:tr>
        <w:tc>
          <w:tcPr>
            <w:tcW w:type="dxa" w:w="21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Problem / Opportunity</w:t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Scope</w:t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Current vs. Proposed</w:t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Business Rules</w:t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1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  <w:tc>
          <w:tcPr>
            <w:tcW w:type="dxa" w:w="264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</w:pPr>
      <w:r>
        <w:t xml:space="preserve">4.  What to Listen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1E276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Behavior</w:t>
            </w:r>
          </w:p>
        </w:tc>
        <w:tc>
          <w:tcPr>
            <w:tcW w:type="dxa" w:w="60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1E276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33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Pushback on vague language</w:t>
            </w:r>
          </w:p>
        </w:tc>
        <w:tc>
          <w:tcPr>
            <w:tcW w:type="dxa" w:w="60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A BRD must be clear enough for delivery, testing, and approval.</w:t>
            </w:r>
          </w:p>
        </w:tc>
      </w:tr>
      <w:tr>
        <w:tc>
          <w:tcPr>
            <w:tcW w:type="dxa" w:w="33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Explicit scope boundary</w:t>
            </w:r>
          </w:p>
        </w:tc>
        <w:tc>
          <w:tcPr>
            <w:tcW w:type="dxa" w:w="60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Small enhancements fail when adjacent ideas quietly enter the project.</w:t>
            </w:r>
          </w:p>
        </w:tc>
      </w:tr>
      <w:tr>
        <w:tc>
          <w:tcPr>
            <w:tcW w:type="dxa" w:w="33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Rules separated from features</w:t>
            </w:r>
          </w:p>
        </w:tc>
        <w:tc>
          <w:tcPr>
            <w:tcW w:type="dxa" w:w="60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Decision logic should be owned and reviewable by business / compliance.</w:t>
            </w:r>
          </w:p>
        </w:tc>
      </w:tr>
      <w:tr>
        <w:tc>
          <w:tcPr>
            <w:tcW w:type="dxa" w:w="33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Open questions logged</w:t>
            </w:r>
          </w:p>
        </w:tc>
        <w:tc>
          <w:tcPr>
            <w:tcW w:type="dxa" w:w="60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Unanswered items should not disappear into polished prose.</w:t>
            </w:r>
          </w:p>
        </w:tc>
      </w:tr>
      <w:tr>
        <w:tc>
          <w:tcPr>
            <w:tcW w:type="dxa" w:w="33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Acceptance tied to requirements</w:t>
            </w:r>
          </w:p>
        </w:tc>
        <w:tc>
          <w:tcPr>
            <w:tcW w:type="dxa" w:w="60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20"/>
                <w:szCs w:val="20"/>
              </w:rPr>
              <w:t xml:space="preserve">The BRD should make acceptance testable, not aspirational.</w:t>
            </w:r>
          </w:p>
        </w:tc>
      </w:tr>
    </w:tbl>
    <w:p>
      <w:pPr>
        <w:pStyle w:val="Heading1"/>
      </w:pPr>
      <w:r>
        <w:t xml:space="preserve">5.  Suggested Stakeholder Inputs</w:t>
      </w:r>
    </w:p>
    <w:p>
      <w:pPr>
        <w:spacing w:after="100"/>
      </w:pPr>
      <w:r>
        <w:rPr>
          <w:color w:val="1B1F3B"/>
          <w:sz w:val="21"/>
          <w:szCs w:val="21"/>
        </w:rPr>
        <w:t xml:space="preserve">If you are role-playing the SME, these keep you inside the timebox.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E2761"/>
          <w:sz w:val="21"/>
          <w:szCs w:val="21"/>
        </w:rPr>
        <w:t xml:space="preserve">Problem:  </w:t>
      </w:r>
      <w:r>
        <w:rPr>
          <w:color w:val="1B1F3B"/>
          <w:sz w:val="21"/>
          <w:szCs w:val="21"/>
        </w:rPr>
        <w:t xml:space="preserve">agents may unknowingly reuse a saved illustration after rates, rules, or disclosures changed.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E2761"/>
          <w:sz w:val="21"/>
          <w:szCs w:val="21"/>
        </w:rPr>
        <w:t xml:space="preserve">Scope:  </w:t>
      </w:r>
      <w:r>
        <w:rPr>
          <w:color w:val="1B1F3B"/>
          <w:sz w:val="21"/>
          <w:szCs w:val="21"/>
        </w:rPr>
        <w:t xml:space="preserve">agent-facing stale warning only; no customer-facing changes in the MVP.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E2761"/>
          <w:sz w:val="21"/>
          <w:szCs w:val="21"/>
        </w:rPr>
        <w:t xml:space="preserve">Rule:  </w:t>
      </w:r>
      <w:r>
        <w:rPr>
          <w:color w:val="1B1F3B"/>
          <w:sz w:val="21"/>
          <w:szCs w:val="21"/>
        </w:rPr>
        <w:t xml:space="preserve">if any defined source-of-truth value changed after last calculation, the illustration is stale.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1E2761"/>
          <w:sz w:val="21"/>
          <w:szCs w:val="21"/>
        </w:rPr>
        <w:t xml:space="preserve">Acceptance:  </w:t>
      </w:r>
      <w:r>
        <w:rPr>
          <w:color w:val="1B1F3B"/>
          <w:sz w:val="21"/>
          <w:szCs w:val="21"/>
        </w:rPr>
        <w:t xml:space="preserve">a stale illustration cannot be presented, e-signed, or submitted until recalculated.</w:t>
      </w:r>
    </w:p>
    <w:p>
      <w:pPr>
        <w:pStyle w:val="Heading1"/>
      </w:pPr>
      <w:r>
        <w:t xml:space="preserve">6.  Generate the Rest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2E6" w:sz="1"/>
              <w:left w:val="single" w:color="B7740A" w:sz="18"/>
              <w:bottom w:val="single" w:color="C9D2E6" w:sz="1"/>
              <w:right w:val="single" w:color="C9D2E6" w:sz="1"/>
            </w:tcBorders>
            <w:shd w:fill="F1F4FB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90"/>
            </w:pPr>
            <w:r>
              <w:rPr>
                <w:b/>
                <w:bCs/>
                <w:color w:val="B7740A"/>
                <w:spacing w:val="20"/>
                <w:sz w:val="16"/>
                <w:szCs w:val="16"/>
              </w:rPr>
              <w:t xml:space="preserve">PASTE AFTER THE FIVE LIVE SECTIONS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Now generate the complete clean BRD using the uploaded template structure.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Remove all instructional annotations, examples, and elicitation prompts.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For sections we did not discuss, create reasonable draft content and label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7740A"/>
                <w:sz w:val="19"/>
                <w:szCs w:val="19"/>
              </w:rPr>
              <w:t xml:space="preserve">uncertain items as:  Assumed  /  To Confirm  /  Open Question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Use the template's IDs, and do not renumber any assigned during the live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sections: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7740A"/>
                <w:sz w:val="19"/>
                <w:szCs w:val="19"/>
              </w:rPr>
              <w:t xml:space="preserve">  BR, FR, RULE, NFR, G, AC, A, D, R, SCN, Q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Keep traceability: each FR notes the BR it traces to; each AC notes what it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verifies.</w:t>
            </w:r>
          </w:p>
        </w:tc>
      </w:tr>
    </w:tbl>
    <w:p>
      <w:pPr>
        <w:pStyle w:val="Heading1"/>
      </w:pPr>
      <w:r>
        <w:t xml:space="preserve">7.  Reusable Assistant Prompt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2E6" w:sz="1"/>
              <w:left w:val="single" w:color="B7740A" w:sz="18"/>
              <w:bottom w:val="single" w:color="C9D2E6" w:sz="1"/>
              <w:right w:val="single" w:color="C9D2E6" w:sz="1"/>
            </w:tcBorders>
            <w:shd w:fill="F1F4FB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90"/>
            </w:pPr>
            <w:r>
              <w:rPr>
                <w:b/>
                <w:bCs/>
                <w:color w:val="B7740A"/>
                <w:spacing w:val="20"/>
                <w:sz w:val="16"/>
                <w:szCs w:val="16"/>
              </w:rPr>
              <w:t xml:space="preserve">TURN THE METHOD INTO A SKILL OR CUSTOM GPT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Based on the process we just followed, create reusable instructions for a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BRD Assistant. The assistant should: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  • Use an uploaded BRD template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  • Interview the user section by section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  • Focus first on problem, scope, current/proposed, rules, acceptance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  • Push back on vague answers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  • Maintain assumptions, risks, and open questions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  <w:color w:val="1B1F3B"/>
                <w:sz w:val="19"/>
                <w:szCs w:val="19"/>
              </w:rPr>
              <w:t xml:space="preserve">  • Generate a clean BRD after elicitation, marking unconfirmed content</w:t>
            </w:r>
          </w:p>
        </w:tc>
      </w:tr>
    </w:tbl>
    <w:p>
      <w:pPr>
        <w:pStyle w:val="Heading1"/>
      </w:pPr>
      <w:r>
        <w:t xml:space="preserve">8.  Mini Quality Checklist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Does the BRD state the problem without naming a solution?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Are in-scope and out-of-scope items both explicit?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Are business rules precise enough to test?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Are assumptions marked rather than hidden?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Do acceptance criteria prove the must-have requirements?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Could a Custom GPT or Skill repeat this process consistently?</w:t>
      </w:r>
    </w:p>
    <w:p>
      <w:pPr>
        <w:pStyle w:val="Heading1"/>
      </w:pPr>
      <w:r>
        <w:t xml:space="preserve">9.  Next Steps: Making It Reusable</w:t>
      </w:r>
    </w:p>
    <w:p>
      <w:pPr>
        <w:spacing w:after="120"/>
      </w:pPr>
      <w:r>
        <w:rPr>
          <w:color w:val="1B1F3B"/>
          <w:sz w:val="21"/>
          <w:szCs w:val="21"/>
        </w:rPr>
        <w:t xml:space="preserve">Once the demo produces the BRD Assistant instructions, decide where they should live. Pick the lightest option that fits how the team will actually use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3060"/>
        <w:gridCol w:w="2600"/>
      </w:tblGrid>
      <w:tr>
        <w:trPr>
          <w:tblHeader/>
        </w:trPr>
        <w:tc>
          <w:tcPr>
            <w:tcW w:type="dxa" w:w="15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1E276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Option</w:t>
            </w:r>
          </w:p>
        </w:tc>
        <w:tc>
          <w:tcPr>
            <w:tcW w:type="dxa" w:w="22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1E276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  <w:tc>
          <w:tcPr>
            <w:tcW w:type="dxa" w:w="30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1E276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Pros</w:t>
            </w:r>
          </w:p>
        </w:tc>
        <w:tc>
          <w:tcPr>
            <w:tcW w:type="dxa" w:w="26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1E276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Trade-offs</w:t>
            </w:r>
          </w:p>
        </w:tc>
      </w:tr>
      <w:tr>
        <w:tc>
          <w:tcPr>
            <w:tcW w:type="dxa" w:w="15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Custom GPT</w:t>
            </w:r>
          </w:p>
        </w:tc>
        <w:tc>
          <w:tcPr>
            <w:tcW w:type="dxa" w:w="22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A reusable BRD assistant inside ChatGPT.</w:t>
            </w:r>
          </w:p>
        </w:tc>
        <w:tc>
          <w:tcPr>
            <w:tcW w:type="dxa" w:w="30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Fast to build, no code. Carries your instructions and template, suits interactive interviews, easy to share and update centrally.</w:t>
            </w:r>
          </w:p>
        </w:tc>
        <w:tc>
          <w:tcPr>
            <w:tcW w:type="dxa" w:w="26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The user still drives the interview. Not meant for autonomous, cross-system work. Building needs a paid plan.</w:t>
            </w:r>
          </w:p>
        </w:tc>
      </w:tr>
      <w:tr>
        <w:tc>
          <w:tcPr>
            <w:tcW w:type="dxa" w:w="15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Shared Project</w:t>
            </w:r>
          </w:p>
        </w:tc>
        <w:tc>
          <w:tcPr>
            <w:tcW w:type="dxa" w:w="22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A team or one-off workspace for a specific BRD effort.</w:t>
            </w:r>
          </w:p>
        </w:tc>
        <w:tc>
          <w:tcPr>
            <w:tcW w:type="dxa" w:w="30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Simple. Keeps files, instructions, and chats together. Good when the work varies from project to project.</w:t>
            </w:r>
          </w:p>
        </w:tc>
        <w:tc>
          <w:tcPr>
            <w:tcW w:type="dxa" w:w="26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Less of a packaged, repeatable assistant. Behavior can drift across chats. A Custom GPT can’t run inside it.</w:t>
            </w:r>
          </w:p>
        </w:tc>
      </w:tr>
      <w:tr>
        <w:tc>
          <w:tcPr>
            <w:tcW w:type="dxa" w:w="15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Workspace agent</w:t>
            </w:r>
          </w:p>
        </w:tc>
        <w:tc>
          <w:tcPr>
            <w:tcW w:type="dxa" w:w="22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Repeatable business workflows that span several tools.</w:t>
            </w:r>
          </w:p>
        </w:tc>
        <w:tc>
          <w:tcPr>
            <w:tcW w:type="dxa" w:w="306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Handles multi-step work, can act across connected tools, useful for routing, approvals, and operational tasks.</w:t>
            </w:r>
          </w:p>
        </w:tc>
        <w:tc>
          <w:tcPr>
            <w:tcW w:type="dxa" w:w="2600"/>
            <w:tcBorders>
              <w:top w:val="single" w:color="C9D2E6" w:sz="1"/>
              <w:left w:val="single" w:color="C9D2E6" w:sz="1"/>
              <w:bottom w:val="single" w:color="C9D2E6" w:sz="1"/>
              <w:right w:val="single" w:color="C9D2E6" w:sz="1"/>
            </w:tcBorders>
            <w:shd w:fill="EFF3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B1F3B"/>
                <w:sz w:val="17"/>
                <w:szCs w:val="17"/>
              </w:rPr>
              <w:t xml:space="preserve">More setup and governance. Usually overkill for an interview-and-draft BRD flow.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120"/>
      </w:pPr>
      <w:r>
        <w:rPr>
          <w:b/>
          <w:bCs/>
          <w:color w:val="1E2761"/>
          <w:sz w:val="21"/>
          <w:szCs w:val="21"/>
        </w:rPr>
        <w:t xml:space="preserve">To stand up a Custom GPT (the usual choice):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Go to chatgpt.com/create and paste in the generated BRD Assistant instructions.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Attach the BRD template as a knowledge file so users never have to upload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Add a name, a short description, and two or three conversation starters.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Share it — to your workspace for internal use, or by link. Building requires a paid plan.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1F3B"/>
          <w:sz w:val="21"/>
          <w:szCs w:val="21"/>
        </w:rPr>
        <w:t xml:space="preserve">When you revise the instructions or template, publish the update and everyone gets the new version.</w:t>
      </w:r>
    </w:p>
    <w:p>
      <w:pPr>
        <w:spacing w:before="60"/>
      </w:pPr>
      <w:r>
        <w:rPr>
          <w:b/>
          <w:bCs/>
          <w:color w:val="B7740A"/>
          <w:sz w:val="21"/>
          <w:szCs w:val="21"/>
        </w:rPr>
        <w:t xml:space="preserve">Recommendation:  </w:t>
      </w:r>
      <w:r>
        <w:rPr>
          <w:color w:val="1B1F3B"/>
          <w:sz w:val="21"/>
          <w:szCs w:val="21"/>
        </w:rPr>
        <w:t xml:space="preserve">on a workspace plan, share a Custom GPT to the workspace. Reach for a workspace agent only when the flow has to act across connected systems. Feature availability shifts often on ChatGPT, so confirm the current sharing settings for your plan.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Participant Worksheet — Interactive BRD with ChatGPT    •    </w:t>
    </w:r>
    <w:r>
      <w:rPr>
        <w:color w:val="6B72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B7740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E2761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2026-05-29T18:17:46.708Z</dcterms:created>
  <dcterms:modified xsi:type="dcterms:W3CDTF">2026-05-29T18:17:46.709Z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