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B1F" w:rsidRDefault="00C26A39">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BF3B1F" w:rsidRDefault="00C26A39">
      <w:pPr>
        <w:spacing w:after="800"/>
        <w:jc w:val="center"/>
      </w:pPr>
      <w:r>
        <w:rPr>
          <w:i/>
          <w:iCs/>
          <w:color w:val="8A8F94"/>
          <w:sz w:val="24"/>
          <w:szCs w:val="24"/>
        </w:rPr>
        <w:t>Multifamily Real Estate Investments</w:t>
      </w:r>
    </w:p>
    <w:p w:rsidR="00BF3B1F" w:rsidRDefault="00BF3B1F">
      <w:pPr>
        <w:pBdr>
          <w:bottom w:val="single" w:sz="18" w:space="1" w:color="A3D55D"/>
        </w:pBdr>
        <w:spacing w:before="200" w:after="800"/>
        <w:jc w:val="center"/>
      </w:pPr>
    </w:p>
    <w:p w:rsidR="00BF3B1F" w:rsidRDefault="00C26A39">
      <w:pPr>
        <w:spacing w:after="240"/>
        <w:jc w:val="center"/>
      </w:pPr>
      <w:r>
        <w:rPr>
          <w:rFonts w:ascii="Lato" w:eastAsia="Lato" w:hAnsi="Lato" w:cs="Lato"/>
          <w:b/>
          <w:bCs/>
          <w:sz w:val="56"/>
          <w:szCs w:val="56"/>
        </w:rPr>
        <w:t>A company overview</w:t>
      </w:r>
    </w:p>
    <w:p w:rsidR="00BF3B1F" w:rsidRDefault="00C26A39">
      <w:pPr>
        <w:spacing w:after="1200"/>
        <w:jc w:val="center"/>
      </w:pPr>
      <w:r>
        <w:rPr>
          <w:color w:val="666B70"/>
          <w:sz w:val="26"/>
          <w:szCs w:val="26"/>
        </w:rPr>
        <w:t>For Real Estate Operators Diversifying Personal Capital</w:t>
      </w:r>
    </w:p>
    <w:p w:rsidR="00BF3B1F" w:rsidRDefault="00C26A39">
      <w:pPr>
        <w:spacing w:before="800" w:after="60"/>
        <w:jc w:val="center"/>
      </w:pPr>
      <w:r>
        <w:t>VisionWise Capital LLC  ·  Mission Viejo, California</w:t>
      </w:r>
    </w:p>
    <w:p w:rsidR="00BF3B1F" w:rsidRDefault="00C26A39">
      <w:pPr>
        <w:spacing w:after="60"/>
        <w:jc w:val="center"/>
      </w:pPr>
      <w:r>
        <w:rPr>
          <w:color w:val="8A8F94"/>
          <w:sz w:val="20"/>
          <w:szCs w:val="20"/>
        </w:rPr>
        <w:t>(949) 441-5580  ·  info@visionwisecapital.com  ·  visionwisecapital.com</w:t>
      </w:r>
    </w:p>
    <w:p w:rsidR="00BF3B1F" w:rsidRDefault="00C26A39">
      <w:pPr>
        <w:pageBreakBefore/>
        <w:spacing w:before="280" w:after="200"/>
      </w:pPr>
      <w:r>
        <w:rPr>
          <w:rFonts w:ascii="Lato" w:eastAsia="Lato" w:hAnsi="Lato" w:cs="Lato"/>
          <w:b/>
          <w:bCs/>
          <w:sz w:val="48"/>
          <w:szCs w:val="48"/>
        </w:rPr>
        <w:lastRenderedPageBreak/>
        <w:t>For the GP, Syndicator, or Fix-and-Flip Operator Looking for an LP Position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F3B1F">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BF3B1F" w:rsidRDefault="00C26A39">
            <w:pPr>
              <w:spacing w:after="80"/>
            </w:pPr>
            <w:r>
              <w:rPr>
                <w:rFonts w:ascii="Lato" w:eastAsia="Lato" w:hAnsi="Lato" w:cs="Lato"/>
                <w:b/>
                <w:bCs/>
                <w:sz w:val="18"/>
                <w:szCs w:val="18"/>
              </w:rPr>
              <w:t>Why we are writing</w:t>
            </w:r>
          </w:p>
          <w:p w:rsidR="00BF3B1F" w:rsidRDefault="00C26A39">
            <w:r>
              <w:rPr>
                <w:i/>
                <w:iCs/>
                <w:sz w:val="24"/>
                <w:szCs w:val="24"/>
              </w:rPr>
              <w:t>We are not pitching another operator's deals to you. We are inviting you to put a small amount of your own capital with another operator in a market you don't compete in.</w:t>
            </w:r>
          </w:p>
        </w:tc>
      </w:tr>
    </w:tbl>
    <w:p w:rsidR="00BF3B1F" w:rsidRDefault="00BF3B1F">
      <w:pPr>
        <w:spacing w:after="120"/>
      </w:pPr>
    </w:p>
    <w:p w:rsidR="00BF3B1F" w:rsidRDefault="00C26A39">
      <w:pPr>
        <w:spacing w:after="140"/>
      </w:pPr>
      <w:r>
        <w:t>VisionWise Capital is a 12-year, 24-deal coastal Southern California multifamily fix-and-flip operator. Our underwriting is rigorous, our leverage is conservative, our team is in-house, and our track record is transparent — including the deal that didn't work. We are exactly the kind of sponsor an operator looks at when choosing a passive position outside their home market.</w:t>
      </w:r>
    </w:p>
    <w:p w:rsidR="00BF3B1F" w:rsidRDefault="00BF3B1F">
      <w:pPr>
        <w:spacing w:after="80"/>
      </w:pPr>
    </w:p>
    <w:p w:rsidR="00BF3B1F" w:rsidRDefault="00C26A39">
      <w:pPr>
        <w:spacing w:after="140"/>
      </w:pPr>
      <w:r>
        <w:t>If you operate in Texas, Florida, the Midwest, or the Pacific Northwest, you are precisely the operator we want as an LP. We accept $100,000-minimum Direct-deal LLC participation and $500,000-minimum Sidecar single-asset LLC participation. We will share our underwriting model, our renovation scope-of-work template, and our worst-deal post-mortem on the first call.</w:t>
      </w:r>
    </w:p>
    <w:p w:rsidR="00BF3B1F" w:rsidRDefault="00C26A39">
      <w:pPr>
        <w:pBdr>
          <w:bottom w:val="single" w:sz="12" w:space="4" w:color="A3D55D"/>
        </w:pBdr>
        <w:spacing w:before="240" w:after="160"/>
      </w:pPr>
      <w:r>
        <w:rPr>
          <w:rFonts w:ascii="Lato" w:eastAsia="Lato" w:hAnsi="Lato" w:cs="Lato"/>
          <w:b/>
          <w:bCs/>
          <w:sz w:val="32"/>
          <w:szCs w:val="32"/>
        </w:rPr>
        <w:t>Why VisionWise Capital matters to you</w:t>
      </w:r>
    </w:p>
    <w:p w:rsidR="00BF3B1F" w:rsidRDefault="00C26A39">
      <w:pPr>
        <w:pStyle w:val="ListParagraph"/>
        <w:numPr>
          <w:ilvl w:val="0"/>
          <w:numId w:val="2"/>
        </w:numPr>
        <w:spacing w:after="60"/>
      </w:pPr>
      <w:r>
        <w:t>Geographic diversification you cannot operate yourself. Coastal SoCal multifamily is supply-constrained at any cycle. You can underwrite us; you cannot replace us locally.</w:t>
      </w:r>
    </w:p>
    <w:p w:rsidR="00BF3B1F" w:rsidRDefault="00C26A39">
      <w:pPr>
        <w:pStyle w:val="ListParagraph"/>
        <w:numPr>
          <w:ilvl w:val="0"/>
          <w:numId w:val="2"/>
        </w:numPr>
        <w:spacing w:after="60"/>
      </w:pPr>
      <w:r>
        <w:t>≤50% LTV after month 6. The leverage discipline you've heard about — confirmed in our worst deal, 630 W Washington, where the conservative LTV gave us optionality to hold through a hostile rate environment.</w:t>
      </w:r>
    </w:p>
    <w:p w:rsidR="00BF3B1F" w:rsidRDefault="00C26A39">
      <w:pPr>
        <w:pStyle w:val="ListParagraph"/>
        <w:numPr>
          <w:ilvl w:val="0"/>
          <w:numId w:val="2"/>
        </w:numPr>
        <w:spacing w:after="60"/>
      </w:pPr>
      <w:r>
        <w:t>Vertically integrated 56-person team. Full-time construction manager, ~35 in-house tradesmen. You'll recognize what that does for renovation cost certainty.</w:t>
      </w:r>
    </w:p>
    <w:p w:rsidR="00BF3B1F" w:rsidRDefault="00C26A39">
      <w:pPr>
        <w:pStyle w:val="ListParagraph"/>
        <w:numPr>
          <w:ilvl w:val="0"/>
          <w:numId w:val="2"/>
        </w:numPr>
        <w:spacing w:after="60"/>
      </w:pPr>
      <w:r>
        <w:t>We respect your time on the first call. Underwriting model, scope-of-work template, deal-level returns, the loss. No story-time.</w:t>
      </w:r>
    </w:p>
    <w:p w:rsidR="00BF3B1F" w:rsidRDefault="00C26A39">
      <w:pPr>
        <w:pBdr>
          <w:bottom w:val="single" w:sz="12" w:space="4" w:color="A3D55D"/>
        </w:pBdr>
        <w:spacing w:before="240" w:after="160"/>
      </w:pPr>
      <w:r>
        <w:rPr>
          <w:rFonts w:ascii="Lato" w:eastAsia="Lato" w:hAnsi="Lato" w:cs="Lato"/>
          <w:b/>
          <w:bCs/>
          <w:sz w:val="32"/>
          <w:szCs w:val="32"/>
        </w:rPr>
        <w:t>How VisionWise Capital operates</w:t>
      </w:r>
    </w:p>
    <w:p w:rsidR="00BF3B1F" w:rsidRDefault="00C26A39">
      <w:pPr>
        <w:spacing w:after="140"/>
      </w:pPr>
      <w:r>
        <w:t>We acquire under-managed multifamily property in coastal Southern California — five to seventy-five units, vintage 1940 to 2000 — and improve it to market standard. The playbook is three steps:</w:t>
      </w:r>
    </w:p>
    <w:p w:rsidR="00BF3B1F" w:rsidRDefault="00C26A39">
      <w:pPr>
        <w:pStyle w:val="ListParagraph"/>
        <w:numPr>
          <w:ilvl w:val="0"/>
          <w:numId w:val="2"/>
        </w:numPr>
        <w:spacing w:after="60"/>
      </w:pPr>
      <w:r>
        <w:t>Acquire patiently. We track properties for months at our price, not the seller's. The completeness of our buyer package wins deals where the highest offer does not.</w:t>
      </w:r>
    </w:p>
    <w:p w:rsidR="00BF3B1F" w:rsidRDefault="00C26A39">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BF3B1F" w:rsidRDefault="00C26A39">
      <w:pPr>
        <w:pStyle w:val="ListParagraph"/>
        <w:numPr>
          <w:ilvl w:val="0"/>
          <w:numId w:val="2"/>
        </w:numPr>
        <w:spacing w:after="60"/>
      </w:pPr>
      <w:r>
        <w:lastRenderedPageBreak/>
        <w:t>Move rents to market. Eighteen to twenty-four months later, the property is at market rents and operating at stabilized cap rates. We hold for income or sell for capital appreciation.</w:t>
      </w:r>
    </w:p>
    <w:p w:rsidR="00BF3B1F" w:rsidRDefault="00C26A39">
      <w:pPr>
        <w:spacing w:after="140"/>
      </w:pPr>
      <w:r>
        <w:t>Across 24 deals over 12 years, the portfolio has produced 23.95% average levered project returns — including a -33% paper-loss deal we will discuss before any other deal.</w:t>
      </w:r>
    </w:p>
    <w:p w:rsidR="00BF3B1F" w:rsidRDefault="00C26A39">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BF3B1F">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BF3B1F" w:rsidRDefault="00C26A39">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BF3B1F" w:rsidRDefault="00C26A39">
            <w:r>
              <w:rPr>
                <w:rFonts w:ascii="Lato" w:eastAsia="Lato" w:hAnsi="Lato" w:cs="Lato"/>
                <w:b/>
                <w:bCs/>
                <w:color w:val="FFFFFF"/>
                <w:sz w:val="20"/>
                <w:szCs w:val="20"/>
              </w:rPr>
              <w:t>Value</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12</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24</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227</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$103.0M</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$53.3M</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$12.8M</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23.95%</w:t>
            </w:r>
          </w:p>
        </w:tc>
      </w:tr>
      <w:tr w:rsidR="00BF3B1F">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1 paper-loss deal of 24, fully transparent</w:t>
            </w:r>
          </w:p>
        </w:tc>
      </w:tr>
    </w:tbl>
    <w:p w:rsidR="00BF3B1F" w:rsidRDefault="00C26A39">
      <w:pPr>
        <w:pBdr>
          <w:bottom w:val="single" w:sz="12" w:space="4" w:color="A3D55D"/>
        </w:pBdr>
        <w:spacing w:before="240" w:after="160"/>
      </w:pPr>
      <w:r>
        <w:rPr>
          <w:rFonts w:ascii="Lato" w:eastAsia="Lato" w:hAnsi="Lato" w:cs="Lato"/>
          <w:b/>
          <w:bCs/>
          <w:sz w:val="32"/>
          <w:szCs w:val="32"/>
        </w:rPr>
        <w:t>Case study one</w:t>
      </w:r>
    </w:p>
    <w:p w:rsidR="00BF3B1F" w:rsidRDefault="00C26A39">
      <w:pPr>
        <w:spacing w:before="180" w:after="80"/>
      </w:pPr>
      <w:r>
        <w:rPr>
          <w:rFonts w:ascii="Lato" w:eastAsia="Lato" w:hAnsi="Lato" w:cs="Lato"/>
          <w:b/>
          <w:bCs/>
          <w:color w:val="5C9627"/>
          <w:sz w:val="24"/>
          <w:szCs w:val="24"/>
        </w:rPr>
        <w:t>374 Cypress Drive — Laguna Beach (Cypress Garden Apartments)</w:t>
      </w:r>
    </w:p>
    <w:p w:rsidR="00BF3B1F" w:rsidRDefault="00C26A39">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F3B1F">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BF3B1F" w:rsidRDefault="00C26A39">
            <w:pPr>
              <w:spacing w:after="80"/>
            </w:pPr>
            <w:r>
              <w:rPr>
                <w:rFonts w:ascii="Lato" w:eastAsia="Lato" w:hAnsi="Lato" w:cs="Lato"/>
                <w:b/>
                <w:bCs/>
                <w:sz w:val="18"/>
                <w:szCs w:val="18"/>
              </w:rPr>
              <w:t>Headline</w:t>
            </w:r>
          </w:p>
          <w:p w:rsidR="00BF3B1F" w:rsidRDefault="00C26A39">
            <w:r>
              <w:rPr>
                <w:i/>
                <w:iCs/>
                <w:sz w:val="24"/>
                <w:szCs w:val="24"/>
              </w:rPr>
              <w:t>Estimated 72.30% levered project return</w:t>
            </w:r>
          </w:p>
        </w:tc>
      </w:tr>
    </w:tbl>
    <w:p w:rsidR="00BF3B1F" w:rsidRDefault="00BF3B1F">
      <w:pPr>
        <w:spacing w:after="80"/>
      </w:pPr>
    </w:p>
    <w:p w:rsidR="00BF3B1F" w:rsidRDefault="00C26A39">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BF3B1F" w:rsidRDefault="00C26A39">
      <w:pPr>
        <w:spacing w:before="180" w:after="80"/>
      </w:pPr>
      <w:r>
        <w:rPr>
          <w:rFonts w:ascii="Lato" w:eastAsia="Lato" w:hAnsi="Lato" w:cs="Lato"/>
          <w:b/>
          <w:bCs/>
          <w:color w:val="5C9627"/>
          <w:sz w:val="24"/>
          <w:szCs w:val="24"/>
        </w:rPr>
        <w:t>What this deal teaches</w:t>
      </w:r>
    </w:p>
    <w:p w:rsidR="00BF3B1F" w:rsidRDefault="00C26A39">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BF3B1F" w:rsidRDefault="00C26A39">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$4,050,000 ($405K/unit)</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lastRenderedPageBreak/>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$391,749</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$5,014,749</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$2,822,000 (56% LTV)</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$6,600,000 ($660K/unit)</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$1,585,251</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72.30%</w:t>
            </w:r>
          </w:p>
        </w:tc>
      </w:tr>
    </w:tbl>
    <w:p w:rsidR="00BF3B1F" w:rsidRDefault="00BF3B1F">
      <w:pPr>
        <w:spacing w:after="120"/>
      </w:pPr>
    </w:p>
    <w:p w:rsidR="00BF3B1F" w:rsidRDefault="00C26A39">
      <w:pPr>
        <w:pBdr>
          <w:bottom w:val="single" w:sz="12" w:space="4" w:color="A3D55D"/>
        </w:pBdr>
        <w:spacing w:before="240" w:after="160"/>
      </w:pPr>
      <w:r>
        <w:rPr>
          <w:rFonts w:ascii="Lato" w:eastAsia="Lato" w:hAnsi="Lato" w:cs="Lato"/>
          <w:b/>
          <w:bCs/>
          <w:sz w:val="32"/>
          <w:szCs w:val="32"/>
        </w:rPr>
        <w:t>Case study two</w:t>
      </w:r>
    </w:p>
    <w:p w:rsidR="00BF3B1F" w:rsidRDefault="00C26A39">
      <w:pPr>
        <w:spacing w:before="180" w:after="80"/>
      </w:pPr>
      <w:r>
        <w:rPr>
          <w:rFonts w:ascii="Lato" w:eastAsia="Lato" w:hAnsi="Lato" w:cs="Lato"/>
          <w:b/>
          <w:bCs/>
          <w:color w:val="5C9627"/>
          <w:sz w:val="24"/>
          <w:szCs w:val="24"/>
        </w:rPr>
        <w:t>630 W Washington Avenue — San Diego</w:t>
      </w:r>
    </w:p>
    <w:p w:rsidR="00BF3B1F" w:rsidRDefault="00C26A39">
      <w:pPr>
        <w:spacing w:after="140"/>
      </w:pPr>
      <w:r>
        <w:rPr>
          <w:i/>
          <w:iCs/>
          <w:color w:val="8A8F94"/>
          <w:sz w:val="20"/>
          <w:szCs w:val="20"/>
        </w:rPr>
        <w:t>Stabilized · 12 units · Acquired December 2021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F3B1F">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BF3B1F" w:rsidRDefault="00C26A39">
            <w:pPr>
              <w:spacing w:after="80"/>
            </w:pPr>
            <w:r>
              <w:rPr>
                <w:rFonts w:ascii="Lato" w:eastAsia="Lato" w:hAnsi="Lato" w:cs="Lato"/>
                <w:b/>
                <w:bCs/>
                <w:sz w:val="18"/>
                <w:szCs w:val="18"/>
              </w:rPr>
              <w:t>Headline</w:t>
            </w:r>
          </w:p>
          <w:p w:rsidR="00BF3B1F" w:rsidRDefault="00C26A39">
            <w:r>
              <w:rPr>
                <w:i/>
                <w:iCs/>
                <w:sz w:val="24"/>
                <w:szCs w:val="24"/>
              </w:rPr>
              <w:t>Estimated -33.01% levered project return (paper loss, unrealized)</w:t>
            </w:r>
          </w:p>
        </w:tc>
      </w:tr>
    </w:tbl>
    <w:p w:rsidR="00BF3B1F" w:rsidRDefault="00BF3B1F">
      <w:pPr>
        <w:spacing w:after="80"/>
      </w:pPr>
    </w:p>
    <w:p w:rsidR="00BF3B1F" w:rsidRDefault="00C26A39">
      <w:pPr>
        <w:spacing w:after="140"/>
      </w:pPr>
      <w:r>
        <w:t>The only deal in the VWC portfolio currently marked at a paper loss. Acquired in the last weeks of 2021, before the rate environment shifted decisively in 2022. VWC has chosen to operate the asset through the cap-rate widening rather than force a disposition into a weak window. Conservative 50% LTV gave VWC the optionality to hold.</w:t>
      </w:r>
    </w:p>
    <w:p w:rsidR="00BF3B1F" w:rsidRDefault="00C26A39">
      <w:pPr>
        <w:spacing w:before="180" w:after="80"/>
      </w:pPr>
      <w:r>
        <w:rPr>
          <w:rFonts w:ascii="Lato" w:eastAsia="Lato" w:hAnsi="Lato" w:cs="Lato"/>
          <w:b/>
          <w:bCs/>
          <w:color w:val="5C9627"/>
          <w:sz w:val="24"/>
          <w:szCs w:val="24"/>
        </w:rPr>
        <w:t>What this deal teaches</w:t>
      </w:r>
    </w:p>
    <w:p w:rsidR="00BF3B1F" w:rsidRDefault="00C26A39">
      <w:pPr>
        <w:spacing w:after="140"/>
      </w:pPr>
      <w:r>
        <w:t>Honest track records include the deals that didn't work. A 70%–80% LTV operator would face refinance pressure in this rate environment. VWC can wait. The story this asset tells is about leverage discipline — investors who avoided forced losses through 2022–2024 set their LTV ceiling before the cycle turned.</w:t>
      </w:r>
    </w:p>
    <w:p w:rsidR="00BF3B1F" w:rsidRDefault="00C26A39">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$3,530,900 ($294K/unit)</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$334,949</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$4,255,203</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$2,118,600 (50% LTV)</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$3,550,000</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Estimated paper loss</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-$705,203</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Levered return (estimated)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-33.01%</w:t>
            </w:r>
          </w:p>
        </w:tc>
      </w:tr>
    </w:tbl>
    <w:p w:rsidR="00BF3B1F" w:rsidRDefault="00BF3B1F">
      <w:pPr>
        <w:spacing w:after="120"/>
      </w:pPr>
    </w:p>
    <w:p w:rsidR="00BF3B1F" w:rsidRDefault="00C26A39">
      <w:pPr>
        <w:pBdr>
          <w:bottom w:val="single" w:sz="12" w:space="4" w:color="A3D55D"/>
        </w:pBdr>
        <w:spacing w:before="240" w:after="160"/>
      </w:pPr>
      <w:r>
        <w:rPr>
          <w:rFonts w:ascii="Lato" w:eastAsia="Lato" w:hAnsi="Lato" w:cs="Lato"/>
          <w:b/>
          <w:bCs/>
          <w:sz w:val="32"/>
          <w:szCs w:val="32"/>
        </w:rPr>
        <w:t>What an operator-LP position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Entry products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Direct-deal LLC ($100K min) and Sidecar single-asset LLC ($500K min)</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Direct deal 24–30 months; Sidecar 18–24 months</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Coastal Orange County and San Diego County (i.e., not your market)</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≤50% LTV after month 6</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Underwriting access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Sample model and renovation SOW shared on first call</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sz w:val="20"/>
                <w:szCs w:val="20"/>
              </w:rPr>
              <w:t>AppFolio Investor portal + quarterly written update</w:t>
            </w:r>
          </w:p>
        </w:tc>
      </w:tr>
      <w:tr w:rsidR="00BF3B1F">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BF3B1F" w:rsidRDefault="00C26A39">
            <w:r>
              <w:rPr>
                <w:b/>
                <w:bCs/>
                <w:sz w:val="20"/>
                <w:szCs w:val="20"/>
              </w:rPr>
              <w:t>Track record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BF3B1F" w:rsidRDefault="00C26A39">
            <w:r>
              <w:rPr>
                <w:sz w:val="20"/>
                <w:szCs w:val="20"/>
              </w:rPr>
              <w:t>24 deals, 227 units, 23.95% avg levered project return</w:t>
            </w:r>
          </w:p>
        </w:tc>
      </w:tr>
    </w:tbl>
    <w:p w:rsidR="00BF3B1F" w:rsidRDefault="00BF3B1F">
      <w:pPr>
        <w:spacing w:after="120"/>
      </w:pPr>
    </w:p>
    <w:p w:rsidR="00BF3B1F" w:rsidRDefault="00C26A39">
      <w:pPr>
        <w:pBdr>
          <w:bottom w:val="single" w:sz="12" w:space="4" w:color="A3D55D"/>
        </w:pBdr>
        <w:spacing w:before="240" w:after="160"/>
      </w:pPr>
      <w:r>
        <w:rPr>
          <w:rFonts w:ascii="Lato" w:eastAsia="Lato" w:hAnsi="Lato" w:cs="Lato"/>
          <w:b/>
          <w:bCs/>
          <w:sz w:val="32"/>
          <w:szCs w:val="32"/>
        </w:rPr>
        <w:t>Our values, briefly</w:t>
      </w:r>
    </w:p>
    <w:p w:rsidR="00BF3B1F" w:rsidRDefault="00C26A39">
      <w:pPr>
        <w:spacing w:after="140"/>
      </w:pPr>
      <w:r>
        <w:t>VisionWise Capital is governed by two pairs of values. The first pair — Entrepreneurial, Strategic Thinker, Resolute — describes how we work. The second pair — Faith and Clear Conscience — describes the standard we hold ourselves to.</w:t>
      </w:r>
    </w:p>
    <w:p w:rsidR="00BF3B1F" w:rsidRDefault="00C26A39">
      <w:pPr>
        <w:pBdr>
          <w:left w:val="single" w:sz="18" w:space="12" w:color="A3D55D"/>
        </w:pBdr>
        <w:spacing w:before="120" w:after="120"/>
        <w:ind w:left="360"/>
      </w:pPr>
      <w:r>
        <w:rPr>
          <w:i/>
          <w:iCs/>
          <w:color w:val="666B70"/>
        </w:rPr>
        <w:t>Committed to investors over projects.</w:t>
      </w:r>
    </w:p>
    <w:p w:rsidR="00BF3B1F" w:rsidRDefault="00C26A39">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BF3B1F" w:rsidRDefault="00C26A39">
      <w:pPr>
        <w:pBdr>
          <w:bottom w:val="single" w:sz="12" w:space="4" w:color="A3D55D"/>
        </w:pBdr>
        <w:spacing w:before="240" w:after="160"/>
      </w:pPr>
      <w:r>
        <w:rPr>
          <w:rFonts w:ascii="Lato" w:eastAsia="Lato" w:hAnsi="Lato" w:cs="Lato"/>
          <w:b/>
          <w:bCs/>
          <w:sz w:val="32"/>
          <w:szCs w:val="32"/>
        </w:rPr>
        <w:t>Next step</w:t>
      </w:r>
    </w:p>
    <w:p w:rsidR="00BF3B1F" w:rsidRDefault="00C26A39">
      <w:pPr>
        <w:spacing w:after="140"/>
      </w:pPr>
      <w:r>
        <w:t>Please reply with two or three specific underwriting questions. We will answer them in writing, then schedule a 30-minute call. Operators do better diligence than retail LPs, and we appreciate it.</w:t>
      </w:r>
    </w:p>
    <w:p w:rsidR="00BF3B1F" w:rsidRDefault="00BF3B1F">
      <w:pPr>
        <w:spacing w:after="120"/>
      </w:pPr>
    </w:p>
    <w:p w:rsidR="00BF3B1F" w:rsidRDefault="00C26A39">
      <w:pPr>
        <w:spacing w:after="140"/>
      </w:pPr>
      <w:r>
        <w:rPr>
          <w:i/>
          <w:iCs/>
          <w:color w:val="666B70"/>
        </w:rPr>
        <w:t>The best LP feedback we get comes from other operators. Pitch is fastest when it doesn't have to happen.</w:t>
      </w:r>
    </w:p>
    <w:p w:rsidR="00BF3B1F" w:rsidRDefault="00BF3B1F">
      <w:pPr>
        <w:spacing w:after="120"/>
      </w:pPr>
    </w:p>
    <w:p w:rsidR="00BF3B1F" w:rsidRDefault="00BF3B1F">
      <w:pPr>
        <w:spacing w:after="120"/>
      </w:pPr>
    </w:p>
    <w:p w:rsidR="00BF3B1F" w:rsidRDefault="00C26A39">
      <w:pPr>
        <w:spacing w:after="140"/>
      </w:pPr>
      <w:r>
        <w:rPr>
          <w:i/>
          <w:iCs/>
        </w:rPr>
        <w:t>With respect,</w:t>
      </w:r>
    </w:p>
    <w:p w:rsidR="00BF3B1F" w:rsidRDefault="00BF3B1F">
      <w:pPr>
        <w:spacing w:after="80"/>
      </w:pPr>
    </w:p>
    <w:p w:rsidR="00BF3B1F" w:rsidRDefault="00C26A39">
      <w:pPr>
        <w:spacing w:after="140"/>
      </w:pPr>
      <w:r>
        <w:rPr>
          <w:rFonts w:ascii="Lato" w:eastAsia="Lato" w:hAnsi="Lato" w:cs="Lato"/>
          <w:b/>
          <w:bCs/>
          <w:sz w:val="26"/>
          <w:szCs w:val="26"/>
        </w:rPr>
        <w:t>Sanford D. Coggins</w:t>
      </w:r>
    </w:p>
    <w:p w:rsidR="00BF3B1F" w:rsidRDefault="00C26A39">
      <w:pPr>
        <w:spacing w:after="140"/>
      </w:pPr>
      <w:r>
        <w:rPr>
          <w:i/>
          <w:iCs/>
          <w:color w:val="8A8F94"/>
          <w:sz w:val="20"/>
          <w:szCs w:val="20"/>
        </w:rPr>
        <w:t>CEO &amp; Founder, VisionWise Capital LLC</w:t>
      </w:r>
    </w:p>
    <w:p w:rsidR="00BF3B1F" w:rsidRDefault="00C26A39">
      <w:pPr>
        <w:pageBreakBefore/>
        <w:spacing w:before="280" w:after="200"/>
      </w:pPr>
      <w:r>
        <w:rPr>
          <w:rFonts w:ascii="Lato" w:eastAsia="Lato" w:hAnsi="Lato" w:cs="Lato"/>
          <w:b/>
          <w:bCs/>
          <w:sz w:val="48"/>
          <w:szCs w:val="48"/>
        </w:rPr>
        <w:lastRenderedPageBreak/>
        <w:t>Important disclosures</w:t>
      </w:r>
    </w:p>
    <w:p w:rsidR="00BF3B1F" w:rsidRDefault="00C26A39">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BF3B1F" w:rsidRDefault="00BF3B1F">
      <w:pPr>
        <w:spacing w:after="120"/>
      </w:pPr>
    </w:p>
    <w:p w:rsidR="00BF3B1F" w:rsidRDefault="00C26A39">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BF3B1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6A39" w:rsidRDefault="00C26A39">
      <w:r>
        <w:separator/>
      </w:r>
    </w:p>
  </w:endnote>
  <w:endnote w:type="continuationSeparator" w:id="0">
    <w:p w:rsidR="00C26A39" w:rsidRDefault="00C26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B1F" w:rsidRDefault="00C26A39">
    <w:pPr>
      <w:pBdr>
        <w:top w:val="single" w:sz="6" w:space="4" w:color="A3D55D"/>
      </w:pBdr>
      <w:spacing w:after="60"/>
      <w:jc w:val="center"/>
    </w:pPr>
    <w:r>
      <w:rPr>
        <w:color w:val="8A8F94"/>
        <w:sz w:val="16"/>
        <w:szCs w:val="16"/>
      </w:rPr>
      <w:t>VisionWise Capital LLC  ·  visionwisecapital.com  ·  (949) 441-5580</w:t>
    </w:r>
  </w:p>
  <w:p w:rsidR="00BF3B1F" w:rsidRDefault="00C26A39">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027B35">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027B35">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6A39" w:rsidRDefault="00C26A39">
      <w:r>
        <w:separator/>
      </w:r>
    </w:p>
  </w:footnote>
  <w:footnote w:type="continuationSeparator" w:id="0">
    <w:p w:rsidR="00C26A39" w:rsidRDefault="00C26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B1F" w:rsidRDefault="00C26A39">
    <w:pPr>
      <w:jc w:val="right"/>
    </w:pPr>
    <w:r>
      <w:rPr>
        <w:i/>
        <w:iCs/>
        <w:color w:val="8A8F94"/>
        <w:sz w:val="16"/>
        <w:szCs w:val="16"/>
      </w:rPr>
      <w:t>VisionWise Capital  ·  Company Overview  ·  For Real Estate Operators Diversifying Personal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A07D8"/>
    <w:multiLevelType w:val="hybridMultilevel"/>
    <w:tmpl w:val="4322F8F2"/>
    <w:lvl w:ilvl="0" w:tplc="16FE93BC">
      <w:start w:val="1"/>
      <w:numFmt w:val="bullet"/>
      <w:lvlText w:val="•"/>
      <w:lvlJc w:val="left"/>
      <w:pPr>
        <w:ind w:left="540" w:hanging="270"/>
      </w:pPr>
      <w:rPr>
        <w:rFonts w:ascii="Open Sans" w:eastAsia="Open Sans" w:hAnsi="Open Sans" w:cs="Open Sans"/>
        <w:color w:val="5C9627"/>
      </w:rPr>
    </w:lvl>
    <w:lvl w:ilvl="1" w:tplc="0F569640">
      <w:numFmt w:val="decimal"/>
      <w:lvlText w:val=""/>
      <w:lvlJc w:val="left"/>
    </w:lvl>
    <w:lvl w:ilvl="2" w:tplc="7D968694">
      <w:numFmt w:val="decimal"/>
      <w:lvlText w:val=""/>
      <w:lvlJc w:val="left"/>
    </w:lvl>
    <w:lvl w:ilvl="3" w:tplc="6908EF3A">
      <w:numFmt w:val="decimal"/>
      <w:lvlText w:val=""/>
      <w:lvlJc w:val="left"/>
    </w:lvl>
    <w:lvl w:ilvl="4" w:tplc="235AB384">
      <w:numFmt w:val="decimal"/>
      <w:lvlText w:val=""/>
      <w:lvlJc w:val="left"/>
    </w:lvl>
    <w:lvl w:ilvl="5" w:tplc="7884E494">
      <w:numFmt w:val="decimal"/>
      <w:lvlText w:val=""/>
      <w:lvlJc w:val="left"/>
    </w:lvl>
    <w:lvl w:ilvl="6" w:tplc="A9E8C488">
      <w:numFmt w:val="decimal"/>
      <w:lvlText w:val=""/>
      <w:lvlJc w:val="left"/>
    </w:lvl>
    <w:lvl w:ilvl="7" w:tplc="0D641EC8">
      <w:numFmt w:val="decimal"/>
      <w:lvlText w:val=""/>
      <w:lvlJc w:val="left"/>
    </w:lvl>
    <w:lvl w:ilvl="8" w:tplc="4F609E98">
      <w:numFmt w:val="decimal"/>
      <w:lvlText w:val=""/>
      <w:lvlJc w:val="left"/>
    </w:lvl>
  </w:abstractNum>
  <w:abstractNum w:abstractNumId="1" w15:restartNumberingAfterBreak="0">
    <w:nsid w:val="400702C4"/>
    <w:multiLevelType w:val="hybridMultilevel"/>
    <w:tmpl w:val="B180FA46"/>
    <w:lvl w:ilvl="0" w:tplc="027CA664">
      <w:start w:val="1"/>
      <w:numFmt w:val="decimal"/>
      <w:lvlText w:val="%1."/>
      <w:lvlJc w:val="left"/>
      <w:pPr>
        <w:ind w:left="540" w:hanging="270"/>
      </w:pPr>
      <w:rPr>
        <w:rFonts w:ascii="Open Sans" w:eastAsia="Open Sans" w:hAnsi="Open Sans" w:cs="Open Sans"/>
        <w:b/>
        <w:bCs/>
        <w:color w:val="5C9627"/>
      </w:rPr>
    </w:lvl>
    <w:lvl w:ilvl="1" w:tplc="E3DC2C80">
      <w:numFmt w:val="decimal"/>
      <w:lvlText w:val=""/>
      <w:lvlJc w:val="left"/>
    </w:lvl>
    <w:lvl w:ilvl="2" w:tplc="ACBEA152">
      <w:numFmt w:val="decimal"/>
      <w:lvlText w:val=""/>
      <w:lvlJc w:val="left"/>
    </w:lvl>
    <w:lvl w:ilvl="3" w:tplc="6890F0F6">
      <w:numFmt w:val="decimal"/>
      <w:lvlText w:val=""/>
      <w:lvlJc w:val="left"/>
    </w:lvl>
    <w:lvl w:ilvl="4" w:tplc="BBCACD20">
      <w:numFmt w:val="decimal"/>
      <w:lvlText w:val=""/>
      <w:lvlJc w:val="left"/>
    </w:lvl>
    <w:lvl w:ilvl="5" w:tplc="BB308FC2">
      <w:numFmt w:val="decimal"/>
      <w:lvlText w:val=""/>
      <w:lvlJc w:val="left"/>
    </w:lvl>
    <w:lvl w:ilvl="6" w:tplc="76226E1C">
      <w:numFmt w:val="decimal"/>
      <w:lvlText w:val=""/>
      <w:lvlJc w:val="left"/>
    </w:lvl>
    <w:lvl w:ilvl="7" w:tplc="B87CE1F6">
      <w:numFmt w:val="decimal"/>
      <w:lvlText w:val=""/>
      <w:lvlJc w:val="left"/>
    </w:lvl>
    <w:lvl w:ilvl="8" w:tplc="30E405FA">
      <w:numFmt w:val="decimal"/>
      <w:lvlText w:val=""/>
      <w:lvlJc w:val="left"/>
    </w:lvl>
  </w:abstractNum>
  <w:abstractNum w:abstractNumId="2" w15:restartNumberingAfterBreak="0">
    <w:nsid w:val="7D6C67F2"/>
    <w:multiLevelType w:val="hybridMultilevel"/>
    <w:tmpl w:val="FA38D950"/>
    <w:lvl w:ilvl="0" w:tplc="77F2ECE6">
      <w:start w:val="1"/>
      <w:numFmt w:val="bullet"/>
      <w:lvlText w:val="●"/>
      <w:lvlJc w:val="left"/>
      <w:pPr>
        <w:ind w:left="720" w:hanging="360"/>
      </w:pPr>
    </w:lvl>
    <w:lvl w:ilvl="1" w:tplc="CE88D12A">
      <w:start w:val="1"/>
      <w:numFmt w:val="bullet"/>
      <w:lvlText w:val="○"/>
      <w:lvlJc w:val="left"/>
      <w:pPr>
        <w:ind w:left="1440" w:hanging="360"/>
      </w:pPr>
    </w:lvl>
    <w:lvl w:ilvl="2" w:tplc="B6DA809E">
      <w:start w:val="1"/>
      <w:numFmt w:val="bullet"/>
      <w:lvlText w:val="■"/>
      <w:lvlJc w:val="left"/>
      <w:pPr>
        <w:ind w:left="2160" w:hanging="360"/>
      </w:pPr>
    </w:lvl>
    <w:lvl w:ilvl="3" w:tplc="C89EE69A">
      <w:start w:val="1"/>
      <w:numFmt w:val="bullet"/>
      <w:lvlText w:val="●"/>
      <w:lvlJc w:val="left"/>
      <w:pPr>
        <w:ind w:left="2880" w:hanging="360"/>
      </w:pPr>
    </w:lvl>
    <w:lvl w:ilvl="4" w:tplc="685AA3DA">
      <w:start w:val="1"/>
      <w:numFmt w:val="bullet"/>
      <w:lvlText w:val="○"/>
      <w:lvlJc w:val="left"/>
      <w:pPr>
        <w:ind w:left="3600" w:hanging="360"/>
      </w:pPr>
    </w:lvl>
    <w:lvl w:ilvl="5" w:tplc="87F0AB0E">
      <w:start w:val="1"/>
      <w:numFmt w:val="bullet"/>
      <w:lvlText w:val="■"/>
      <w:lvlJc w:val="left"/>
      <w:pPr>
        <w:ind w:left="4320" w:hanging="360"/>
      </w:pPr>
    </w:lvl>
    <w:lvl w:ilvl="6" w:tplc="A296C8F4">
      <w:start w:val="1"/>
      <w:numFmt w:val="bullet"/>
      <w:lvlText w:val="●"/>
      <w:lvlJc w:val="left"/>
      <w:pPr>
        <w:ind w:left="5040" w:hanging="360"/>
      </w:pPr>
    </w:lvl>
    <w:lvl w:ilvl="7" w:tplc="AEC093EA">
      <w:start w:val="1"/>
      <w:numFmt w:val="bullet"/>
      <w:lvlText w:val="●"/>
      <w:lvlJc w:val="left"/>
      <w:pPr>
        <w:ind w:left="5760" w:hanging="360"/>
      </w:pPr>
    </w:lvl>
    <w:lvl w:ilvl="8" w:tplc="F7283E5E">
      <w:start w:val="1"/>
      <w:numFmt w:val="bullet"/>
      <w:lvlText w:val="●"/>
      <w:lvlJc w:val="left"/>
      <w:pPr>
        <w:ind w:left="6480" w:hanging="360"/>
      </w:pPr>
    </w:lvl>
  </w:abstractNum>
  <w:num w:numId="1" w16cid:durableId="1034504556">
    <w:abstractNumId w:val="2"/>
    <w:lvlOverride w:ilvl="0">
      <w:startOverride w:val="1"/>
    </w:lvlOverride>
  </w:num>
  <w:num w:numId="2" w16cid:durableId="167252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B1F"/>
    <w:rsid w:val="00027B35"/>
    <w:rsid w:val="00641079"/>
    <w:rsid w:val="00BF3B1F"/>
    <w:rsid w:val="00C26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1118</Words>
  <Characters>6272</Characters>
  <Application>Microsoft Office Word</Application>
  <DocSecurity>0</DocSecurity>
  <Lines>169</Lines>
  <Paragraphs>134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Co-Sponsor / Operator's Personal Capital</dc:title>
  <dc:creator>VisionWise Capital</dc:creator>
  <dc:description>Persona-tailored company overview for For Real Estate Operators Diversifying Personal Capital</dc:description>
  <cp:lastModifiedBy>Ravi Jain</cp:lastModifiedBy>
  <cp:revision>2</cp:revision>
  <cp:lastPrinted>2026-04-25T21:24:00Z</cp:lastPrinted>
  <dcterms:created xsi:type="dcterms:W3CDTF">2026-04-25T21:24:00Z</dcterms:created>
  <dcterms:modified xsi:type="dcterms:W3CDTF">2026-04-25T21:24:00Z</dcterms:modified>
</cp:coreProperties>
</file>