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20"/>
      </w:pP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CASE STUDY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8A8F94"/>
          <w:sz w:val="16"/>
          <w:szCs w:val="16"/>
        </w:rPr>
        <w:t xml:space="preserve">   ·   </w:t>
      </w:r>
      <w:r>
        <w:rPr>
          <w:rFonts w:ascii="Lato" w:cs="Lato" w:eastAsia="Lato" w:hAnsi="Lato"/>
          <w:b/>
          <w:bCs/>
          <w:i w:val="false"/>
          <w:iCs w:val="false"/>
          <w:color w:val="5C9627"/>
          <w:sz w:val="16"/>
          <w:szCs w:val="16"/>
        </w:rPr>
        <w:t xml:space="preserve">SOLD</w:t>
      </w:r>
    </w:p>
    <w:p>
      <w:pPr>
        <w:spacing w:before="0" w:after="20" w:line="280"/>
      </w:pPr>
      <w:r>
        <w:rPr>
          <w:rFonts w:ascii="Lato" w:cs="Lato" w:eastAsia="Lato" w:hAnsi="Lato"/>
          <w:b/>
          <w:bCs/>
          <w:i w:val="false"/>
          <w:iCs w:val="false"/>
          <w:color w:val="40464B"/>
          <w:sz w:val="44"/>
          <w:szCs w:val="44"/>
        </w:rPr>
        <w:t xml:space="preserve">709 Palm Avenue</w:t>
      </w:r>
    </w:p>
    <w:p>
      <w:pPr>
        <w:spacing w:before="0" w:after="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Huntington Beach, CA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8 units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Acquired March 2021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8A8F94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666B70"/>
          <w:sz w:val="20"/>
          <w:szCs w:val="20"/>
        </w:rPr>
        <w:t xml:space="preserve">Sold November 2022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12"/>
        <w:gridCol w:w="5112"/>
      </w:tblGrid>
      <w:tr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LEVERED RETURN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39.15%</w:t>
            </w:r>
          </w:p>
        </w:tc>
        <w:tc>
          <w:tcPr>
            <w:tcW w:type="dxa" w:w="5112"/>
            <w:tcBorders>
              <w:top w:val="none"/>
              <w:left w:val="none"/>
              <w:bottom w:val="none"/>
              <w:right w:val="none"/>
            </w:tcBorders>
            <w:shd w:fill="DAF0B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6"/>
                <w:szCs w:val="16"/>
              </w:rPr>
              <w:t xml:space="preserve">PROFIT</w:t>
            </w:r>
          </w:p>
          <w:p>
            <w:pPr>
              <w:spacing w:before="0" w:after="2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5C9627"/>
                <w:sz w:val="52"/>
                <w:szCs w:val="52"/>
              </w:rPr>
              <w:t xml:space="preserve">$704,033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OPPORTUNITY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An eight-unit asset in Huntington Beach — VWC's continued buildout of its core coastal-OC market. Acquired the same day as 201 Cypress (3/15/2021), reflecting VWC's ability to close two acquisitions in parallel without diluting execution.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THE STRATEGY</w:t>
      </w:r>
    </w:p>
    <w:p>
      <w:pPr>
        <w:spacing w:before="40" w:after="40" w:line="2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Standard value-add lifecycle. CapEx of $332K (10.7% of acquisition) covered the reposition. Held 20 months — among the shorter post-pandemic holds in the portfolio, sold into the still-elevated 2022 market.</w:t>
      </w:r>
    </w:p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DEAL SNAPSHOT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12"/>
        <w:gridCol w:w="2300"/>
        <w:gridCol w:w="2812"/>
      </w:tblGrid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Acquisition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$3,100,000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 Amount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$2,047,500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$388,000 / unit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Loan-to-Cost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53%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CapEx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$332,467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Equity Invested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$1,798,467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Total Cost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$3,845,967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Sale Price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$4,550,000</w:t>
            </w:r>
          </w:p>
        </w:tc>
      </w:tr>
      <w:tr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Hold Period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20 months</w:t>
            </w:r>
          </w:p>
        </w:tc>
        <w:tc>
          <w:tcPr>
            <w:tcW w:type="dxa" w:w="2300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shd w:fill="F7F7F7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666B70"/>
                <w:sz w:val="18"/>
                <w:szCs w:val="18"/>
              </w:rPr>
              <w:t xml:space="preserve">Exit Per Unit</w:t>
            </w:r>
          </w:p>
        </w:tc>
        <w:tc>
          <w:tcPr>
            <w:tcW w:type="dxa" w:w="2812"/>
            <w:tcBorders>
              <w:top w:val="single" w:color="E5E7EA" w:sz="4"/>
              <w:left w:val="single" w:color="E5E7EA" w:sz="4"/>
              <w:bottom w:val="single" w:color="E5E7EA" w:sz="4"/>
              <w:right w:val="single" w:color="E5E7E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40" w:after="40" w:line="2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40464B"/>
                <w:sz w:val="22"/>
                <w:szCs w:val="22"/>
              </w:rPr>
              <w:t xml:space="preserve">$569,000 / unit</w:t>
            </w:r>
          </w:p>
        </w:tc>
      </w:tr>
    </w:tbl>
    <w:p>
      <w:pPr>
        <w:pBdr>
          <w:bottom w:val="single" w:color="A3D55D" w:sz="8"/>
        </w:pBdr>
        <w:spacing w:before="140" w:after="40"/>
      </w:pPr>
      <w:r>
        <w:rPr>
          <w:rFonts w:ascii="Lato" w:cs="Lato" w:eastAsia="Lato" w:hAnsi="Lato"/>
          <w:b/>
          <w:bCs/>
          <w:color w:val="40464B"/>
          <w:sz w:val="20"/>
          <w:szCs w:val="20"/>
        </w:rPr>
        <w:t xml:space="preserve">INVESTOR TAKEAWAY</w:t>
      </w:r>
    </w:p>
    <w:p>
      <w:pPr>
        <w:pBdr>
          <w:left w:val="single" w:color="A3D55D" w:sz="16" w:space="12"/>
        </w:pBdr>
        <w:spacing w:before="40" w:after="40" w:line="280"/>
        <w:ind w:left="180" w:right="18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40464B"/>
          <w:sz w:val="21"/>
          <w:szCs w:val="21"/>
        </w:rPr>
        <w:t xml:space="preserve">A 39% levered return on a 20-month hold. Same-day close with 201 Cypress shows operational capacity — VWC is not a single-deal operation but a programmatic acquirer with the team and process to run multiple repositions in parallel. For passive investors, that's the difference between "we got lucky" and "we built a machine."</w:t>
      </w:r>
    </w:p>
    <w:p>
      <w:pPr>
        <w:pBdr>
          <w:top w:val="single" w:color="E5E7EA" w:sz="4"/>
        </w:pBdr>
        <w:spacing w:before="160" w:after="60"/>
      </w:pPr>
      <w:r>
        <w:t xml:space="preserve"/>
      </w:r>
    </w:p>
    <w:p>
      <w:pPr>
        <w:spacing w:before="0" w:after="0" w:line="220"/>
      </w:pPr>
      <w:r>
        <w:rPr>
          <w:rFonts w:ascii="Open Sans" w:cs="Open Sans" w:eastAsia="Open Sans" w:hAnsi="Open Sans"/>
          <w:b w:val="false"/>
          <w:bCs w:val="false"/>
          <w:i/>
          <w:iCs/>
          <w:color w:val="8A8F94"/>
          <w:sz w:val="13"/>
          <w:szCs w:val="13"/>
        </w:rPr>
        <w:t xml:space="preserve"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sectPr>
      <w:headerReference w:type="default" r:id="rId6"/>
      <w:footerReference w:type="default" r:id="rId7"/>
      <w:pgSz w:w="12240" w:h="15840" w:orient="portrait"/>
      <w:pgMar w:top="1008" w:right="1008" w:bottom="1008" w:left="1008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3D55D" w:sz="4"/>
      </w:pBdr>
      <w:spacing w:before="0" w:after="0"/>
    </w:pPr>
    <w:r>
      <w:t xml:space="preserve"/>
    </w:r>
  </w:p>
  <w:p>
    <w:pPr>
      <w:spacing w:before="80" w:after="0"/>
      <w:jc w:val="left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VisionWise Capital  ·  </w:t>
    </w:r>
    <w:hyperlink w:history="1" r:id="rId9ewwgs1xiwdxtk3vwdjrt">
      <w:r>
        <w:rPr>
          <w:rFonts w:ascii="Open Sans" w:cs="Open Sans" w:eastAsia="Open Sans" w:hAnsi="Open Sans"/>
          <w:color w:val="5C9627"/>
          <w:sz w:val="16"/>
          <w:szCs w:val="16"/>
        </w:rPr>
        <w:t xml:space="preserve">visionwisecapital.com</w:t>
      </w:r>
    </w:hyperlink>
    <w:r>
      <w:rPr>
        <w:rFonts w:ascii="Open Sans" w:cs="Open Sans" w:eastAsia="Open Sans" w:hAnsi="Open Sans"/>
        <w:b w:val="false"/>
        <w:bCs w:val="false"/>
        <w:i w:val="false"/>
        <w:iCs w:val="false"/>
        <w:color w:val="8A8F94"/>
        <w:sz w:val="16"/>
        <w:szCs w:val="16"/>
      </w:rPr>
      <w:t xml:space="preserve">  ·  (949) 441-5580  ·  </w:t>
    </w:r>
    <w:r>
      <w:rPr>
        <w:rFonts w:ascii="Open Sans" w:cs="Open Sans" w:eastAsia="Open Sans" w:hAnsi="Open Sans"/>
        <w:b w:val="false"/>
        <w:bCs w:val="false"/>
        <w:i/>
        <w:iCs/>
        <w:color w:val="8A8F94"/>
        <w:sz w:val="16"/>
        <w:szCs w:val="16"/>
      </w:rPr>
      <w:t xml:space="preserve">Placing Multifamily Real Estate Within Your Reach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20"/>
      <w:jc w:val="left"/>
    </w:pPr>
    <w:r>
      <w:drawing>
        <wp:inline distT="0" distB="0" distL="0" distR="0">
          <wp:extent cx="1428750" cy="238125"/>
          <wp:effectExtent t="0" r="0" b="0" l="0"/>
          <wp:docPr id="1" name="vwc_logo" descr="VWC Logo" title="VisionWise Ca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4046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9ewwgs1xiwdxtk3vwdjrt" Type="http://schemas.openxmlformats.org/officeDocument/2006/relationships/hyperlink" Target="https://visionwisecapital.com" TargetMode="Externa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522428a715b3ceca080b5f4e91dc04cd2726ac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709 Palm Avenue — Case Study</dc:title>
  <dc:creator>VisionWise Capital</dc:creator>
  <dc:description>VWC Case Study: 709 Palm Avenue, Huntington Beach, CA</dc:description>
  <cp:lastModifiedBy>Un-named</cp:lastModifiedBy>
  <cp:revision>1</cp:revision>
  <dcterms:created xsi:type="dcterms:W3CDTF">2026-04-25T21:19:03.651Z</dcterms:created>
  <dcterms:modified xsi:type="dcterms:W3CDTF">2026-04-25T21:19:03.651Z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