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20"/>
      </w:pPr>
      <w:r>
        <w:rPr>
          <w:rFonts w:ascii="Lato" w:cs="Lato" w:eastAsia="Lato" w:hAnsi="Lato"/>
          <w:b/>
          <w:bCs/>
          <w:i w:val="false"/>
          <w:iCs w:val="false"/>
          <w:color w:val="666B70"/>
          <w:sz w:val="16"/>
          <w:szCs w:val="16"/>
        </w:rPr>
        <w:t xml:space="preserve">CASE STUDY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8A8F94"/>
          <w:sz w:val="16"/>
          <w:szCs w:val="16"/>
        </w:rPr>
        <w:t xml:space="preserve">   ·   </w:t>
      </w:r>
      <w:r>
        <w:rPr>
          <w:rFonts w:ascii="Lato" w:cs="Lato" w:eastAsia="Lato" w:hAnsi="Lato"/>
          <w:b/>
          <w:bCs/>
          <w:i w:val="false"/>
          <w:iCs w:val="false"/>
          <w:color w:val="666B70"/>
          <w:sz w:val="16"/>
          <w:szCs w:val="16"/>
        </w:rPr>
        <w:t xml:space="preserve">STABILIZED</w:t>
      </w:r>
    </w:p>
    <w:p>
      <w:pPr>
        <w:spacing w:before="0" w:after="20" w:line="280"/>
      </w:pPr>
      <w:r>
        <w:rPr>
          <w:rFonts w:ascii="Lato" w:cs="Lato" w:eastAsia="Lato" w:hAnsi="Lato"/>
          <w:b/>
          <w:bCs/>
          <w:i w:val="false"/>
          <w:iCs w:val="false"/>
          <w:color w:val="40464B"/>
          <w:sz w:val="44"/>
          <w:szCs w:val="44"/>
        </w:rPr>
        <w:t xml:space="preserve">630 W. Washington Avenue</w:t>
      </w:r>
    </w:p>
    <w:p>
      <w:pPr>
        <w:spacing w:before="0"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San Diego, CA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12 units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Acquired December 2021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EST. LEVERED RETURN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40464B"/>
                <w:sz w:val="52"/>
                <w:szCs w:val="52"/>
              </w:rPr>
              <w:t xml:space="preserve">-33.01%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ESTIMATED LOSS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40464B"/>
                <w:sz w:val="52"/>
                <w:szCs w:val="52"/>
              </w:rPr>
              <w:t xml:space="preserve">-$705,203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OPPORTUNITY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 12-unit asset in San Diego — acquired the same day as 9062 Kenwood Dr (Spring Valley) as part of VWC's late-2021 expansion into the San Diego metro. The deal closed in a market peak — the last weeks of 2021, before the rate environment shifted decisively in 2022.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STRATEGY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Standard value-add lifecycle. CapEx of $335K (9.5% of acquisition) covered the planned reposition. The asset is currently held at stabilization rather than sold — VWC has chosen to operate it through the cap-rate widening rather than force a disposition into a weak window.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DEAL SNAPSHOT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12"/>
        <w:gridCol w:w="2300"/>
        <w:gridCol w:w="2812"/>
      </w:tblGrid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Acquisition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$3,530,900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$2,118,600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$294,000 / unit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Loan-to-Cost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50%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CapEx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$334,949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Equity Invested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$2,136,603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Total 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$4,255,203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Est. Market Value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$3,550,000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Hold Period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Stabilized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Exit 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$296,000 / unit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INVESTOR TAKEAWAY</w:t>
      </w:r>
    </w:p>
    <w:p>
      <w:pPr>
        <w:pBdr>
          <w:left w:val="single" w:color="A3D55D" w:sz="16" w:space="12"/>
        </w:pBdr>
        <w:spacing w:before="40" w:after="40" w:line="280"/>
        <w:ind w:left="180" w:right="1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This is the only deal in the VWC portfolio currently marked at a paper loss — and it is included in this library because honest track records include the deals that didn't work. The loss is on estimated market value, not realized; the asset is still held and operating. 50% LTV gave VWC the optionality to hold rather than face refinance pressure. Across 23 deals, the portfolio has produced $12.8M in cumulative profit and 23.95% average levered returns — one paper loss in a programmatic strategy is the cost of running enough deals to compound, not a strategy failure. The story this asset tells is about leverage discipline.</w:t>
      </w:r>
    </w:p>
    <w:p>
      <w:pPr>
        <w:pBdr>
          <w:top w:val="single" w:color="E5E7EA" w:sz="4"/>
        </w:pBdr>
        <w:spacing w:before="160" w:after="60"/>
      </w:pPr>
      <w:r>
        <w:t xml:space="preserve"/>
      </w:r>
    </w:p>
    <w:p>
      <w:pPr>
        <w:spacing w:before="0" w:after="0" w:line="220"/>
      </w:pPr>
      <w:r>
        <w:rPr>
          <w:rFonts w:ascii="Open Sans" w:cs="Open Sans" w:eastAsia="Open Sans" w:hAnsi="Open Sans"/>
          <w:b w:val="false"/>
          <w:bCs w:val="false"/>
          <w:i/>
          <w:iCs/>
          <w:color w:val="8A8F94"/>
          <w:sz w:val="13"/>
          <w:szCs w:val="13"/>
        </w:rPr>
        <w:t xml:space="preserve"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3D55D" w:sz="4"/>
      </w:pBdr>
      <w:spacing w:before="0" w:after="0"/>
    </w:pPr>
    <w:r>
      <w:t xml:space="preserve"/>
    </w:r>
  </w:p>
  <w:p>
    <w:pPr>
      <w:spacing w:before="80" w:after="0"/>
      <w:jc w:val="left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VisionWise Capital  ·  </w:t>
    </w:r>
    <w:hyperlink w:history="1" r:id="rId2_bv_wvqxw_rjm88z_ioi">
      <w:r>
        <w:rPr>
          <w:rFonts w:ascii="Open Sans" w:cs="Open Sans" w:eastAsia="Open Sans" w:hAnsi="Open Sans"/>
          <w:color w:val="5C9627"/>
          <w:sz w:val="16"/>
          <w:szCs w:val="16"/>
        </w:rPr>
        <w:t xml:space="preserve">visionwisecapital.com</w:t>
      </w:r>
    </w:hyperlink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  ·  (949) 441-5580  ·  </w:t>
    </w:r>
    <w:r>
      <w:rPr>
        <w:rFonts w:ascii="Open Sans" w:cs="Open Sans" w:eastAsia="Open Sans" w:hAnsi="Open Sans"/>
        <w:b w:val="false"/>
        <w:bCs w:val="false"/>
        <w:i/>
        <w:iCs/>
        <w:color w:val="8A8F94"/>
        <w:sz w:val="16"/>
        <w:szCs w:val="16"/>
      </w:rPr>
      <w:t xml:space="preserve">Placing Multifamily Real Estate Within Your Reach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20"/>
      <w:jc w:val="left"/>
    </w:pPr>
    <w:r>
      <w:drawing>
        <wp:inline distT="0" distB="0" distL="0" distR="0">
          <wp:extent cx="1428750" cy="238125"/>
          <wp:effectExtent t="0" r="0" b="0" l="0"/>
          <wp:docPr id="1" name="vwc_logo" descr="VWC Logo" title="VisionWise Ca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4046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2_bv_wvqxw_rjm88z_ioi" Type="http://schemas.openxmlformats.org/officeDocument/2006/relationships/hyperlink" Target="https://visionwisecapital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22428a715b3ceca080b5f4e91dc04cd2726ac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630 W. Washington Avenue — Case Study</dc:title>
  <dc:creator>VisionWise Capital</dc:creator>
  <dc:description>VWC Case Study: 630 W. Washington Avenue, San Diego, CA</dc:description>
  <cp:lastModifiedBy>Un-named</cp:lastModifiedBy>
  <cp:revision>1</cp:revision>
  <dcterms:created xsi:type="dcterms:W3CDTF">2026-04-25T21:19:03.678Z</dcterms:created>
  <dcterms:modified xsi:type="dcterms:W3CDTF">2026-04-25T21:19:03.678Z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