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666B70"/>
          <w:sz w:val="16"/>
          <w:szCs w:val="16"/>
        </w:rPr>
        <w:t xml:space="preserve">STABILIZED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925 S. Malden Avenue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Fullerton,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12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August 2022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EST. 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6.92%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ESTIMATED 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$168,250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12-unit asset in Fullerton — VWC's return to a market it knew well from the 2017 Porter acquisition five years earlier. Acquired in August 2022 alongside three other deals (Bendicron, Lincoln Ave, and shortly after, Hornblend) in a busy summer of capital deployment.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Heavier-CapEx reposition than the typical VWC deal — $532K (13.3% of acquisition) signals significant interior and exterior work. The asset is currently stabilized and operating, with VWC holding for cap rate normalization rather than forcing an exit.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$4,000,000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$2,600,000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$333,000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52%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$531,750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$2,431,750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$5,031,750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Est. Market Value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$5,200,000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Stabilized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$433,000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modest projected return that reflects current market conditions, not the asset itself. The 30%+ rent uplift achieved through reposition (acquisition $/unit to estimated market $/unit) is consistent with the rest of the portfolio — what's compressed is the cap-rate multiplier on exit. With 52% leverage and a stabilized rent roll, VWC has the optionality to hold through the next cap-rate cycle.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c_yrmti90vfjvnq1qq_cv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c_yrmti90vfjvnq1qq_cv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925 S. Malden Avenue — Case Study</dc:title>
  <dc:creator>VisionWise Capital</dc:creator>
  <dc:description>VWC Case Study: 925 S. Malden Avenue, Fullerton, CA</dc:description>
  <cp:lastModifiedBy>Un-named</cp:lastModifiedBy>
  <cp:revision>1</cp:revision>
  <dcterms:created xsi:type="dcterms:W3CDTF">2026-04-25T21:19:03.705Z</dcterms:created>
  <dcterms:modified xsi:type="dcterms:W3CDTF">2026-04-25T21:19:03.705Z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