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35C0" w:rsidRDefault="002D701D">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9735C0" w:rsidRDefault="002D701D">
      <w:pPr>
        <w:spacing w:after="800"/>
        <w:jc w:val="center"/>
      </w:pPr>
      <w:r>
        <w:rPr>
          <w:i/>
          <w:iCs/>
          <w:color w:val="8A8F94"/>
          <w:sz w:val="24"/>
          <w:szCs w:val="24"/>
        </w:rPr>
        <w:t>Multifamily Real Estate Investments</w:t>
      </w:r>
    </w:p>
    <w:p w:rsidR="009735C0" w:rsidRDefault="009735C0">
      <w:pPr>
        <w:pBdr>
          <w:bottom w:val="single" w:sz="18" w:space="1" w:color="A3D55D"/>
        </w:pBdr>
        <w:spacing w:before="200" w:after="800"/>
        <w:jc w:val="center"/>
      </w:pPr>
    </w:p>
    <w:p w:rsidR="009735C0" w:rsidRDefault="002D701D">
      <w:pPr>
        <w:spacing w:after="240"/>
        <w:jc w:val="center"/>
      </w:pPr>
      <w:r>
        <w:rPr>
          <w:rFonts w:ascii="Lato" w:eastAsia="Lato" w:hAnsi="Lato" w:cs="Lato"/>
          <w:b/>
          <w:bCs/>
          <w:sz w:val="56"/>
          <w:szCs w:val="56"/>
        </w:rPr>
        <w:t>A company overview</w:t>
      </w:r>
    </w:p>
    <w:p w:rsidR="009735C0" w:rsidRDefault="002D701D">
      <w:pPr>
        <w:spacing w:after="1200"/>
        <w:jc w:val="center"/>
      </w:pPr>
      <w:r>
        <w:rPr>
          <w:color w:val="666B70"/>
          <w:sz w:val="26"/>
          <w:szCs w:val="26"/>
        </w:rPr>
        <w:t>For Investors Working Against a 1031 Identification Clock</w:t>
      </w:r>
    </w:p>
    <w:p w:rsidR="009735C0" w:rsidRDefault="002D701D">
      <w:pPr>
        <w:spacing w:before="800" w:after="60"/>
        <w:jc w:val="center"/>
      </w:pPr>
      <w:r>
        <w:t>VisionWise Capital LLC  ·  Mission Viejo, California</w:t>
      </w:r>
    </w:p>
    <w:p w:rsidR="009735C0" w:rsidRDefault="002D701D">
      <w:pPr>
        <w:spacing w:after="60"/>
        <w:jc w:val="center"/>
      </w:pPr>
      <w:r>
        <w:rPr>
          <w:color w:val="8A8F94"/>
          <w:sz w:val="20"/>
          <w:szCs w:val="20"/>
        </w:rPr>
        <w:t>(949) 441-5580  ·  info@visionwisecapital.com  ·  visionwisecapital.com</w:t>
      </w:r>
    </w:p>
    <w:p w:rsidR="009735C0" w:rsidRDefault="002D701D">
      <w:pPr>
        <w:pageBreakBefore/>
        <w:spacing w:before="280" w:after="200"/>
      </w:pPr>
      <w:r>
        <w:rPr>
          <w:rFonts w:ascii="Lato" w:eastAsia="Lato" w:hAnsi="Lato" w:cs="Lato"/>
          <w:b/>
          <w:bCs/>
          <w:sz w:val="48"/>
          <w:szCs w:val="48"/>
        </w:rPr>
        <w:lastRenderedPageBreak/>
        <w:t>For the 1031 Exchangor and Their Qualified Intermediary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735C0">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9735C0" w:rsidRDefault="002D701D">
            <w:pPr>
              <w:spacing w:after="80"/>
            </w:pPr>
            <w:r>
              <w:rPr>
                <w:rFonts w:ascii="Lato" w:eastAsia="Lato" w:hAnsi="Lato" w:cs="Lato"/>
                <w:b/>
                <w:bCs/>
                <w:sz w:val="18"/>
                <w:szCs w:val="18"/>
              </w:rPr>
              <w:t>Why we are writing</w:t>
            </w:r>
          </w:p>
          <w:p w:rsidR="009735C0" w:rsidRDefault="002D701D">
            <w:r>
              <w:rPr>
                <w:i/>
                <w:iCs/>
                <w:sz w:val="24"/>
                <w:szCs w:val="24"/>
              </w:rPr>
              <w:t>If your 45-day identification window is open, we have current or near-term sidecar deals you can identify today and close on schedule.</w:t>
            </w:r>
          </w:p>
        </w:tc>
      </w:tr>
    </w:tbl>
    <w:p w:rsidR="009735C0" w:rsidRDefault="009735C0">
      <w:pPr>
        <w:spacing w:after="120"/>
      </w:pPr>
    </w:p>
    <w:p w:rsidR="009735C0" w:rsidRDefault="002D701D">
      <w:pPr>
        <w:spacing w:after="140"/>
      </w:pPr>
      <w:r>
        <w:t>VisionWise Capital structures all of our current acquisitions as single-asset LLCs holding like-kind real property. That makes them eligible replacement properties for a 1031 exchange. We have closed 24 deals over 12 years — every one on schedule, never causing a buyer or seller to miss a tax deadline.</w:t>
      </w:r>
    </w:p>
    <w:p w:rsidR="009735C0" w:rsidRDefault="009735C0">
      <w:pPr>
        <w:spacing w:after="80"/>
      </w:pPr>
    </w:p>
    <w:p w:rsidR="009735C0" w:rsidRDefault="002D701D">
      <w:pPr>
        <w:spacing w:after="140"/>
      </w:pPr>
      <w:r>
        <w:t>If you have a 1031 identification clock running and a $500,000-plus exchange to complete, we want to share our current Sidecar pipeline so your QI can structure documentation. We also assist investors who do not yet have a Qualified Intermediary relationship.</w:t>
      </w:r>
    </w:p>
    <w:p w:rsidR="009735C0" w:rsidRDefault="002D701D">
      <w:pPr>
        <w:pBdr>
          <w:bottom w:val="single" w:sz="12" w:space="4" w:color="A3D55D"/>
        </w:pBdr>
        <w:spacing w:before="240" w:after="160"/>
      </w:pPr>
      <w:r>
        <w:rPr>
          <w:rFonts w:ascii="Lato" w:eastAsia="Lato" w:hAnsi="Lato" w:cs="Lato"/>
          <w:b/>
          <w:bCs/>
          <w:sz w:val="32"/>
          <w:szCs w:val="32"/>
        </w:rPr>
        <w:t>Why VisionWise Capital matters to you</w:t>
      </w:r>
    </w:p>
    <w:p w:rsidR="009735C0" w:rsidRDefault="002D701D">
      <w:pPr>
        <w:pStyle w:val="ListParagraph"/>
        <w:numPr>
          <w:ilvl w:val="0"/>
          <w:numId w:val="2"/>
        </w:numPr>
        <w:spacing w:after="60"/>
      </w:pPr>
      <w:r>
        <w:t>Closing certainty. 24 deals closed over 12 years. We do not move closing dates and we do not lose deals at escrow.</w:t>
      </w:r>
    </w:p>
    <w:p w:rsidR="009735C0" w:rsidRDefault="002D701D">
      <w:pPr>
        <w:pStyle w:val="ListParagraph"/>
        <w:numPr>
          <w:ilvl w:val="0"/>
          <w:numId w:val="2"/>
        </w:numPr>
        <w:spacing w:after="60"/>
      </w:pPr>
      <w:r>
        <w:t>Like-kind eligibility. Single-asset LLC, like-kind real property. Your QI can confirm with us.</w:t>
      </w:r>
    </w:p>
    <w:p w:rsidR="009735C0" w:rsidRDefault="002D701D">
      <w:pPr>
        <w:pStyle w:val="ListParagraph"/>
        <w:numPr>
          <w:ilvl w:val="0"/>
          <w:numId w:val="2"/>
        </w:numPr>
        <w:spacing w:after="60"/>
      </w:pPr>
      <w:r>
        <w:t>Multiple deals in pipeline. We maintain two to three sidecar deals in active or near-term close — useful for backup identification.</w:t>
      </w:r>
    </w:p>
    <w:p w:rsidR="009735C0" w:rsidRDefault="002D701D">
      <w:pPr>
        <w:pStyle w:val="ListParagraph"/>
        <w:numPr>
          <w:ilvl w:val="0"/>
          <w:numId w:val="2"/>
        </w:numPr>
        <w:spacing w:after="60"/>
      </w:pPr>
      <w:r>
        <w:t>We help if you don't have a QI. VWC Exchange Services connects investors to vetted accommodators when needed.</w:t>
      </w:r>
    </w:p>
    <w:p w:rsidR="009735C0" w:rsidRDefault="002D701D">
      <w:pPr>
        <w:pBdr>
          <w:bottom w:val="single" w:sz="12" w:space="4" w:color="A3D55D"/>
        </w:pBdr>
        <w:spacing w:before="240" w:after="160"/>
      </w:pPr>
      <w:r>
        <w:rPr>
          <w:rFonts w:ascii="Lato" w:eastAsia="Lato" w:hAnsi="Lato" w:cs="Lato"/>
          <w:b/>
          <w:bCs/>
          <w:sz w:val="32"/>
          <w:szCs w:val="32"/>
        </w:rPr>
        <w:t>How VisionWise Capital operates</w:t>
      </w:r>
    </w:p>
    <w:p w:rsidR="009735C0" w:rsidRDefault="002D701D">
      <w:pPr>
        <w:spacing w:after="140"/>
      </w:pPr>
      <w:r>
        <w:t>We acquire under-managed multifamily property in coastal Southern California — five to seventy-five units, vintage 1940 to 2000 — and improve it to market standard. The playbook is three steps:</w:t>
      </w:r>
    </w:p>
    <w:p w:rsidR="009735C0" w:rsidRDefault="002D701D">
      <w:pPr>
        <w:pStyle w:val="ListParagraph"/>
        <w:numPr>
          <w:ilvl w:val="0"/>
          <w:numId w:val="2"/>
        </w:numPr>
        <w:spacing w:after="60"/>
      </w:pPr>
      <w:r>
        <w:t>Acquire patiently. We track properties for months at our price, not the seller's. The completeness of our buyer package wins deals where the highest offer does not.</w:t>
      </w:r>
    </w:p>
    <w:p w:rsidR="009735C0" w:rsidRDefault="002D701D">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9735C0" w:rsidRDefault="002D701D">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rsidR="009735C0" w:rsidRDefault="002D701D">
      <w:pPr>
        <w:spacing w:after="140"/>
      </w:pPr>
      <w:r>
        <w:t>Across 24 deals over 12 years, the portfolio has produced 23.95% average levered project returns — including a -33% paper-loss deal we will discuss before any other deal.</w:t>
      </w:r>
    </w:p>
    <w:p w:rsidR="009735C0" w:rsidRDefault="002D701D">
      <w:pPr>
        <w:pBdr>
          <w:bottom w:val="single" w:sz="12" w:space="4" w:color="A3D55D"/>
        </w:pBdr>
        <w:spacing w:before="240" w:after="160"/>
      </w:pPr>
      <w:r>
        <w:rPr>
          <w:rFonts w:ascii="Lato" w:eastAsia="Lato" w:hAnsi="Lato" w:cs="Lato"/>
          <w:b/>
          <w:bCs/>
          <w:sz w:val="32"/>
          <w:szCs w:val="32"/>
        </w:rPr>
        <w:lastRenderedPageBreak/>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9735C0">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9735C0" w:rsidRDefault="002D701D">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9735C0" w:rsidRDefault="002D701D">
            <w:r>
              <w:rPr>
                <w:rFonts w:ascii="Lato" w:eastAsia="Lato" w:hAnsi="Lato" w:cs="Lato"/>
                <w:b/>
                <w:bCs/>
                <w:color w:val="FFFFFF"/>
                <w:sz w:val="20"/>
                <w:szCs w:val="20"/>
              </w:rPr>
              <w:t>Value</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12</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24</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227</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$103.0M</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$53.3M</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$12.8M</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23.95%</w:t>
            </w:r>
          </w:p>
        </w:tc>
      </w:tr>
      <w:tr w:rsidR="009735C0">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1 paper-loss deal of 24, fully transparent</w:t>
            </w:r>
          </w:p>
        </w:tc>
      </w:tr>
    </w:tbl>
    <w:p w:rsidR="009735C0" w:rsidRDefault="002D701D">
      <w:pPr>
        <w:pBdr>
          <w:bottom w:val="single" w:sz="12" w:space="4" w:color="A3D55D"/>
        </w:pBdr>
        <w:spacing w:before="240" w:after="160"/>
      </w:pPr>
      <w:r>
        <w:rPr>
          <w:rFonts w:ascii="Lato" w:eastAsia="Lato" w:hAnsi="Lato" w:cs="Lato"/>
          <w:b/>
          <w:bCs/>
          <w:sz w:val="32"/>
          <w:szCs w:val="32"/>
        </w:rPr>
        <w:t>Case study one</w:t>
      </w:r>
    </w:p>
    <w:p w:rsidR="009735C0" w:rsidRDefault="002D701D">
      <w:pPr>
        <w:spacing w:before="180" w:after="80"/>
      </w:pPr>
      <w:r>
        <w:rPr>
          <w:rFonts w:ascii="Lato" w:eastAsia="Lato" w:hAnsi="Lato" w:cs="Lato"/>
          <w:b/>
          <w:bCs/>
          <w:color w:val="5C9627"/>
          <w:sz w:val="24"/>
          <w:szCs w:val="24"/>
        </w:rPr>
        <w:t>4921 Charlene Circle — Huntington Beach</w:t>
      </w:r>
    </w:p>
    <w:p w:rsidR="009735C0" w:rsidRDefault="002D701D">
      <w:pPr>
        <w:spacing w:after="140"/>
      </w:pPr>
      <w:r>
        <w:rPr>
          <w:i/>
          <w:iCs/>
          <w:color w:val="8A8F94"/>
          <w:sz w:val="20"/>
          <w:szCs w:val="20"/>
        </w:rPr>
        <w:t>Sold · 6 units · Acquired December 2020 · Sold December 2022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735C0">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9735C0" w:rsidRDefault="002D701D">
            <w:pPr>
              <w:spacing w:after="80"/>
            </w:pPr>
            <w:r>
              <w:rPr>
                <w:rFonts w:ascii="Lato" w:eastAsia="Lato" w:hAnsi="Lato" w:cs="Lato"/>
                <w:b/>
                <w:bCs/>
                <w:sz w:val="18"/>
                <w:szCs w:val="18"/>
              </w:rPr>
              <w:t>Headline</w:t>
            </w:r>
          </w:p>
          <w:p w:rsidR="009735C0" w:rsidRDefault="002D701D">
            <w:r>
              <w:rPr>
                <w:i/>
                <w:iCs/>
                <w:sz w:val="24"/>
                <w:szCs w:val="24"/>
              </w:rPr>
              <w:t>51.09% levered project return — 24-month cycle</w:t>
            </w:r>
          </w:p>
        </w:tc>
      </w:tr>
    </w:tbl>
    <w:p w:rsidR="009735C0" w:rsidRDefault="009735C0">
      <w:pPr>
        <w:spacing w:after="80"/>
      </w:pPr>
    </w:p>
    <w:p w:rsidR="009735C0" w:rsidRDefault="002D701D">
      <w:pPr>
        <w:spacing w:after="140"/>
      </w:pPr>
      <w:r>
        <w:t>The sister building to VWC's 4931 Charlene Circle property — literally next door, same building footprint, shared driveway. VWC walked into this deal with a verbatim playbook: same neighborhood, same product, same renovation scope, same property manager. From acquisition to sale, exactly 24 months. Improvements were complete by June 2021 in time for the summer leasing season.</w:t>
      </w:r>
    </w:p>
    <w:p w:rsidR="009735C0" w:rsidRDefault="002D701D">
      <w:pPr>
        <w:spacing w:before="180" w:after="80"/>
      </w:pPr>
      <w:r>
        <w:rPr>
          <w:rFonts w:ascii="Lato" w:eastAsia="Lato" w:hAnsi="Lato" w:cs="Lato"/>
          <w:b/>
          <w:bCs/>
          <w:color w:val="5C9627"/>
          <w:sz w:val="24"/>
          <w:szCs w:val="24"/>
        </w:rPr>
        <w:t>What this deal teaches</w:t>
      </w:r>
    </w:p>
    <w:p w:rsidR="009735C0" w:rsidRDefault="002D701D">
      <w:pPr>
        <w:spacing w:after="140"/>
      </w:pPr>
      <w:r>
        <w:t>When you operate enough Southern California coastal multifamily, sister-property acquisitions become low-risk repeats of work you've already proven. Investors paid for an information advantage, not a market guess.</w:t>
      </w:r>
    </w:p>
    <w:p w:rsidR="009735C0" w:rsidRDefault="002D701D">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$2,090,000 ($348K/unit)</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$173,950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$2,513,350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lastRenderedPageBreak/>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$1,365,000 (54% LTV)</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Sale price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$3,100,000 ($517K/unit)</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Realized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$586,650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51.09%</w:t>
            </w:r>
          </w:p>
        </w:tc>
      </w:tr>
    </w:tbl>
    <w:p w:rsidR="009735C0" w:rsidRDefault="009735C0">
      <w:pPr>
        <w:spacing w:after="120"/>
      </w:pPr>
    </w:p>
    <w:p w:rsidR="009735C0" w:rsidRDefault="002D701D">
      <w:pPr>
        <w:pBdr>
          <w:bottom w:val="single" w:sz="12" w:space="4" w:color="A3D55D"/>
        </w:pBdr>
        <w:spacing w:before="240" w:after="160"/>
      </w:pPr>
      <w:r>
        <w:rPr>
          <w:rFonts w:ascii="Lato" w:eastAsia="Lato" w:hAnsi="Lato" w:cs="Lato"/>
          <w:b/>
          <w:bCs/>
          <w:sz w:val="32"/>
          <w:szCs w:val="32"/>
        </w:rPr>
        <w:t>Case study two</w:t>
      </w:r>
    </w:p>
    <w:p w:rsidR="009735C0" w:rsidRDefault="002D701D">
      <w:pPr>
        <w:spacing w:before="180" w:after="80"/>
      </w:pPr>
      <w:r>
        <w:rPr>
          <w:rFonts w:ascii="Lato" w:eastAsia="Lato" w:hAnsi="Lato" w:cs="Lato"/>
          <w:b/>
          <w:bCs/>
          <w:color w:val="5C9627"/>
          <w:sz w:val="24"/>
          <w:szCs w:val="24"/>
        </w:rPr>
        <w:t>330 W I Street — Encinitas (North San Diego County)</w:t>
      </w:r>
    </w:p>
    <w:p w:rsidR="009735C0" w:rsidRDefault="002D701D">
      <w:pPr>
        <w:spacing w:after="140"/>
      </w:pPr>
      <w:r>
        <w:rPr>
          <w:i/>
          <w:iCs/>
          <w:color w:val="8A8F94"/>
          <w:sz w:val="20"/>
          <w:szCs w:val="20"/>
        </w:rPr>
        <w:t>In renovation · 21 units · Acquired September 2024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735C0">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9735C0" w:rsidRDefault="002D701D">
            <w:pPr>
              <w:spacing w:after="80"/>
            </w:pPr>
            <w:r>
              <w:rPr>
                <w:rFonts w:ascii="Lato" w:eastAsia="Lato" w:hAnsi="Lato" w:cs="Lato"/>
                <w:b/>
                <w:bCs/>
                <w:sz w:val="18"/>
                <w:szCs w:val="18"/>
              </w:rPr>
              <w:t>Headline</w:t>
            </w:r>
          </w:p>
          <w:p w:rsidR="009735C0" w:rsidRDefault="002D701D">
            <w:r>
              <w:rPr>
                <w:i/>
                <w:iCs/>
                <w:sz w:val="24"/>
                <w:szCs w:val="24"/>
              </w:rPr>
              <w:t>Estimated 38.99% levered project return</w:t>
            </w:r>
          </w:p>
        </w:tc>
      </w:tr>
    </w:tbl>
    <w:p w:rsidR="009735C0" w:rsidRDefault="009735C0">
      <w:pPr>
        <w:spacing w:after="80"/>
      </w:pPr>
    </w:p>
    <w:p w:rsidR="009735C0" w:rsidRDefault="002D701D">
      <w:pPr>
        <w:spacing w:after="140"/>
      </w:pPr>
      <w:r>
        <w:t>VWC's largest acquisition to date — at $13.15M, roughly 2.3x the size of the next-largest VWC transaction. Encinitas is one of the most supply-constrained coastal submarkets in San Diego County. A heavy reposition with $1.2M projected CapEx — the largest CapEx commitment in VWC's history.</w:t>
      </w:r>
    </w:p>
    <w:p w:rsidR="009735C0" w:rsidRDefault="002D701D">
      <w:pPr>
        <w:spacing w:before="180" w:after="80"/>
      </w:pPr>
      <w:r>
        <w:rPr>
          <w:rFonts w:ascii="Lato" w:eastAsia="Lato" w:hAnsi="Lato" w:cs="Lato"/>
          <w:b/>
          <w:bCs/>
          <w:color w:val="5C9627"/>
          <w:sz w:val="24"/>
          <w:szCs w:val="24"/>
        </w:rPr>
        <w:t>What this deal teaches</w:t>
      </w:r>
    </w:p>
    <w:p w:rsidR="009735C0" w:rsidRDefault="002D701D">
      <w:pPr>
        <w:spacing w:after="140"/>
      </w:pPr>
      <w:r>
        <w:t>A live demonstration that VWC's operating model — sub-50% LTV, value-add coastal multifamily, in-house construction — holds at scale. The framework didn't change as the firm grew. Only the deal size did.</w:t>
      </w:r>
    </w:p>
    <w:p w:rsidR="009735C0" w:rsidRDefault="002D701D">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$13,150,000 ($626K/unit)</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CapEx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$1,200,000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Total cost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$15,484,500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$7,750,000 (50% LTV)</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$18,500,000 ($881K/unit)</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$3,015,500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38.99%</w:t>
            </w:r>
          </w:p>
        </w:tc>
      </w:tr>
    </w:tbl>
    <w:p w:rsidR="009735C0" w:rsidRDefault="009735C0">
      <w:pPr>
        <w:spacing w:after="120"/>
      </w:pPr>
    </w:p>
    <w:p w:rsidR="009735C0" w:rsidRDefault="002D701D">
      <w:pPr>
        <w:pBdr>
          <w:bottom w:val="single" w:sz="12" w:space="4" w:color="A3D55D"/>
        </w:pBdr>
        <w:spacing w:before="240" w:after="160"/>
      </w:pPr>
      <w:r>
        <w:rPr>
          <w:rFonts w:ascii="Lato" w:eastAsia="Lato" w:hAnsi="Lato" w:cs="Lato"/>
          <w:b/>
          <w:bCs/>
          <w:sz w:val="32"/>
          <w:szCs w:val="32"/>
        </w:rPr>
        <w:t>How a 1031 exchange into a VWC Sidecar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lastRenderedPageBreak/>
              <w:t>Replacement property type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Single-asset LLC, like-kind real property</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Minimum</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$500,000</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18–24 months per property (sidecar cycle)</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Coastal Orange County and San Diego County</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Closing window</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Always operating on a 45/180-day-aware calendar</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QI coordination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sz w:val="20"/>
                <w:szCs w:val="20"/>
              </w:rPr>
              <w:t>We coordinate directly with IPX1031, Asset Preservation, FAI, Madison 1031, Accruit, and others</w:t>
            </w:r>
          </w:p>
        </w:tc>
      </w:tr>
      <w:tr w:rsidR="009735C0">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735C0" w:rsidRDefault="002D701D">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735C0" w:rsidRDefault="002D701D">
            <w:r>
              <w:rPr>
                <w:sz w:val="20"/>
                <w:szCs w:val="20"/>
              </w:rPr>
              <w:t>AppFolio Investor portal + quarterly written update</w:t>
            </w:r>
          </w:p>
        </w:tc>
      </w:tr>
    </w:tbl>
    <w:p w:rsidR="009735C0" w:rsidRDefault="009735C0">
      <w:pPr>
        <w:spacing w:after="120"/>
      </w:pPr>
    </w:p>
    <w:p w:rsidR="009735C0" w:rsidRDefault="002D701D">
      <w:pPr>
        <w:pBdr>
          <w:bottom w:val="single" w:sz="12" w:space="4" w:color="A3D55D"/>
        </w:pBdr>
        <w:spacing w:before="240" w:after="160"/>
      </w:pPr>
      <w:r>
        <w:rPr>
          <w:rFonts w:ascii="Lato" w:eastAsia="Lato" w:hAnsi="Lato" w:cs="Lato"/>
          <w:b/>
          <w:bCs/>
          <w:sz w:val="32"/>
          <w:szCs w:val="32"/>
        </w:rPr>
        <w:t>Our values, briefly</w:t>
      </w:r>
    </w:p>
    <w:p w:rsidR="009735C0" w:rsidRDefault="002D701D">
      <w:pPr>
        <w:spacing w:after="140"/>
      </w:pPr>
      <w:r>
        <w:t>VisionWise Capital is governed by two pairs of values. The first pair — Entrepreneurial, Strategic Thinker, Resolute — describes how we work. The second pair — Faith and Clear Conscience — describes the standard we hold ourselves to.</w:t>
      </w:r>
    </w:p>
    <w:p w:rsidR="009735C0" w:rsidRDefault="002D701D">
      <w:pPr>
        <w:pBdr>
          <w:left w:val="single" w:sz="18" w:space="12" w:color="A3D55D"/>
        </w:pBdr>
        <w:spacing w:before="120" w:after="120"/>
        <w:ind w:left="360"/>
      </w:pPr>
      <w:r>
        <w:rPr>
          <w:i/>
          <w:iCs/>
          <w:color w:val="666B70"/>
        </w:rPr>
        <w:t>Committed to investors over projects.</w:t>
      </w:r>
    </w:p>
    <w:p w:rsidR="009735C0" w:rsidRDefault="002D701D">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9735C0" w:rsidRDefault="002D701D">
      <w:pPr>
        <w:pBdr>
          <w:bottom w:val="single" w:sz="12" w:space="4" w:color="A3D55D"/>
        </w:pBdr>
        <w:spacing w:before="240" w:after="160"/>
      </w:pPr>
      <w:r>
        <w:rPr>
          <w:rFonts w:ascii="Lato" w:eastAsia="Lato" w:hAnsi="Lato" w:cs="Lato"/>
          <w:b/>
          <w:bCs/>
          <w:sz w:val="32"/>
          <w:szCs w:val="32"/>
        </w:rPr>
        <w:t>Next step</w:t>
      </w:r>
    </w:p>
    <w:p w:rsidR="009735C0" w:rsidRDefault="002D701D">
      <w:pPr>
        <w:spacing w:after="140"/>
      </w:pPr>
      <w:r>
        <w:t>If your clock is running, please call (949) 441-5580 or reply with your QI's contact information. We will share the active offering summary within one business day.</w:t>
      </w:r>
    </w:p>
    <w:p w:rsidR="009735C0" w:rsidRDefault="009735C0">
      <w:pPr>
        <w:spacing w:after="120"/>
      </w:pPr>
    </w:p>
    <w:p w:rsidR="009735C0" w:rsidRDefault="002D701D">
      <w:pPr>
        <w:spacing w:after="140"/>
      </w:pPr>
      <w:r>
        <w:rPr>
          <w:i/>
          <w:iCs/>
          <w:color w:val="666B70"/>
        </w:rPr>
        <w:t>We treat every 1031 exchange as a calendar problem before it is an investment decision. The investment thesis is straightforward; the calendar requires a sponsor who has run this play 24 times.</w:t>
      </w:r>
    </w:p>
    <w:p w:rsidR="009735C0" w:rsidRDefault="009735C0">
      <w:pPr>
        <w:spacing w:after="120"/>
      </w:pPr>
    </w:p>
    <w:p w:rsidR="009735C0" w:rsidRDefault="009735C0">
      <w:pPr>
        <w:spacing w:after="120"/>
      </w:pPr>
    </w:p>
    <w:p w:rsidR="009735C0" w:rsidRDefault="002D701D">
      <w:pPr>
        <w:spacing w:after="140"/>
      </w:pPr>
      <w:r>
        <w:rPr>
          <w:i/>
          <w:iCs/>
        </w:rPr>
        <w:t>With respect,</w:t>
      </w:r>
    </w:p>
    <w:p w:rsidR="009735C0" w:rsidRDefault="009735C0">
      <w:pPr>
        <w:spacing w:after="80"/>
      </w:pPr>
    </w:p>
    <w:p w:rsidR="009735C0" w:rsidRDefault="002D701D">
      <w:pPr>
        <w:spacing w:after="140"/>
      </w:pPr>
      <w:r>
        <w:rPr>
          <w:rFonts w:ascii="Lato" w:eastAsia="Lato" w:hAnsi="Lato" w:cs="Lato"/>
          <w:b/>
          <w:bCs/>
          <w:sz w:val="26"/>
          <w:szCs w:val="26"/>
        </w:rPr>
        <w:t>Sanford D. Coggins</w:t>
      </w:r>
    </w:p>
    <w:p w:rsidR="009735C0" w:rsidRDefault="002D701D">
      <w:pPr>
        <w:spacing w:after="140"/>
      </w:pPr>
      <w:r>
        <w:rPr>
          <w:i/>
          <w:iCs/>
          <w:color w:val="8A8F94"/>
          <w:sz w:val="20"/>
          <w:szCs w:val="20"/>
        </w:rPr>
        <w:t>CEO &amp; Founder, VisionWise Capital LLC</w:t>
      </w:r>
    </w:p>
    <w:p w:rsidR="009735C0" w:rsidRDefault="002D701D">
      <w:pPr>
        <w:pageBreakBefore/>
        <w:spacing w:before="280" w:after="200"/>
      </w:pPr>
      <w:r>
        <w:rPr>
          <w:rFonts w:ascii="Lato" w:eastAsia="Lato" w:hAnsi="Lato" w:cs="Lato"/>
          <w:b/>
          <w:bCs/>
          <w:sz w:val="48"/>
          <w:szCs w:val="48"/>
        </w:rPr>
        <w:lastRenderedPageBreak/>
        <w:t>Important disclosures</w:t>
      </w:r>
    </w:p>
    <w:p w:rsidR="009735C0" w:rsidRDefault="002D701D">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9735C0" w:rsidRDefault="009735C0">
      <w:pPr>
        <w:spacing w:after="120"/>
      </w:pPr>
    </w:p>
    <w:p w:rsidR="009735C0" w:rsidRDefault="002D701D">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9735C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01D" w:rsidRDefault="002D701D">
      <w:r>
        <w:separator/>
      </w:r>
    </w:p>
  </w:endnote>
  <w:endnote w:type="continuationSeparator" w:id="0">
    <w:p w:rsidR="002D701D" w:rsidRDefault="002D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35C0" w:rsidRDefault="002D701D">
    <w:pPr>
      <w:pBdr>
        <w:top w:val="single" w:sz="6" w:space="4" w:color="A3D55D"/>
      </w:pBdr>
      <w:spacing w:after="60"/>
      <w:jc w:val="center"/>
    </w:pPr>
    <w:r>
      <w:rPr>
        <w:color w:val="8A8F94"/>
        <w:sz w:val="16"/>
        <w:szCs w:val="16"/>
      </w:rPr>
      <w:t>VisionWise Capital LLC  ·  visionwisecapital.com  ·  (949) 441-5580</w:t>
    </w:r>
  </w:p>
  <w:p w:rsidR="009735C0" w:rsidRDefault="002D701D">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3C00A8">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3C00A8">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01D" w:rsidRDefault="002D701D">
      <w:r>
        <w:separator/>
      </w:r>
    </w:p>
  </w:footnote>
  <w:footnote w:type="continuationSeparator" w:id="0">
    <w:p w:rsidR="002D701D" w:rsidRDefault="002D7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35C0" w:rsidRDefault="002D701D">
    <w:pPr>
      <w:jc w:val="right"/>
    </w:pPr>
    <w:r>
      <w:rPr>
        <w:i/>
        <w:iCs/>
        <w:color w:val="8A8F94"/>
        <w:sz w:val="16"/>
        <w:szCs w:val="16"/>
      </w:rPr>
      <w:t>VisionWise Capital  ·  Company Overview  ·  For Investors Working Against a 1031 Identification Clock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248"/>
    <w:multiLevelType w:val="hybridMultilevel"/>
    <w:tmpl w:val="3150268C"/>
    <w:lvl w:ilvl="0" w:tplc="281AC9B2">
      <w:start w:val="1"/>
      <w:numFmt w:val="decimal"/>
      <w:lvlText w:val="%1."/>
      <w:lvlJc w:val="left"/>
      <w:pPr>
        <w:ind w:left="540" w:hanging="270"/>
      </w:pPr>
      <w:rPr>
        <w:rFonts w:ascii="Open Sans" w:eastAsia="Open Sans" w:hAnsi="Open Sans" w:cs="Open Sans"/>
        <w:b/>
        <w:bCs/>
        <w:color w:val="5C9627"/>
      </w:rPr>
    </w:lvl>
    <w:lvl w:ilvl="1" w:tplc="543012F2">
      <w:numFmt w:val="decimal"/>
      <w:lvlText w:val=""/>
      <w:lvlJc w:val="left"/>
    </w:lvl>
    <w:lvl w:ilvl="2" w:tplc="46405478">
      <w:numFmt w:val="decimal"/>
      <w:lvlText w:val=""/>
      <w:lvlJc w:val="left"/>
    </w:lvl>
    <w:lvl w:ilvl="3" w:tplc="1A28B25E">
      <w:numFmt w:val="decimal"/>
      <w:lvlText w:val=""/>
      <w:lvlJc w:val="left"/>
    </w:lvl>
    <w:lvl w:ilvl="4" w:tplc="31B66C24">
      <w:numFmt w:val="decimal"/>
      <w:lvlText w:val=""/>
      <w:lvlJc w:val="left"/>
    </w:lvl>
    <w:lvl w:ilvl="5" w:tplc="25F485BC">
      <w:numFmt w:val="decimal"/>
      <w:lvlText w:val=""/>
      <w:lvlJc w:val="left"/>
    </w:lvl>
    <w:lvl w:ilvl="6" w:tplc="0B700900">
      <w:numFmt w:val="decimal"/>
      <w:lvlText w:val=""/>
      <w:lvlJc w:val="left"/>
    </w:lvl>
    <w:lvl w:ilvl="7" w:tplc="97702A1E">
      <w:numFmt w:val="decimal"/>
      <w:lvlText w:val=""/>
      <w:lvlJc w:val="left"/>
    </w:lvl>
    <w:lvl w:ilvl="8" w:tplc="26A02340">
      <w:numFmt w:val="decimal"/>
      <w:lvlText w:val=""/>
      <w:lvlJc w:val="left"/>
    </w:lvl>
  </w:abstractNum>
  <w:abstractNum w:abstractNumId="1" w15:restartNumberingAfterBreak="0">
    <w:nsid w:val="73F6646E"/>
    <w:multiLevelType w:val="hybridMultilevel"/>
    <w:tmpl w:val="3F889BCE"/>
    <w:lvl w:ilvl="0" w:tplc="A1140C28">
      <w:start w:val="1"/>
      <w:numFmt w:val="bullet"/>
      <w:lvlText w:val="•"/>
      <w:lvlJc w:val="left"/>
      <w:pPr>
        <w:ind w:left="540" w:hanging="270"/>
      </w:pPr>
      <w:rPr>
        <w:rFonts w:ascii="Open Sans" w:eastAsia="Open Sans" w:hAnsi="Open Sans" w:cs="Open Sans"/>
        <w:color w:val="5C9627"/>
      </w:rPr>
    </w:lvl>
    <w:lvl w:ilvl="1" w:tplc="A0404EF4">
      <w:numFmt w:val="decimal"/>
      <w:lvlText w:val=""/>
      <w:lvlJc w:val="left"/>
    </w:lvl>
    <w:lvl w:ilvl="2" w:tplc="75282038">
      <w:numFmt w:val="decimal"/>
      <w:lvlText w:val=""/>
      <w:lvlJc w:val="left"/>
    </w:lvl>
    <w:lvl w:ilvl="3" w:tplc="7DA80382">
      <w:numFmt w:val="decimal"/>
      <w:lvlText w:val=""/>
      <w:lvlJc w:val="left"/>
    </w:lvl>
    <w:lvl w:ilvl="4" w:tplc="D24096AE">
      <w:numFmt w:val="decimal"/>
      <w:lvlText w:val=""/>
      <w:lvlJc w:val="left"/>
    </w:lvl>
    <w:lvl w:ilvl="5" w:tplc="12D6006A">
      <w:numFmt w:val="decimal"/>
      <w:lvlText w:val=""/>
      <w:lvlJc w:val="left"/>
    </w:lvl>
    <w:lvl w:ilvl="6" w:tplc="64D24E5C">
      <w:numFmt w:val="decimal"/>
      <w:lvlText w:val=""/>
      <w:lvlJc w:val="left"/>
    </w:lvl>
    <w:lvl w:ilvl="7" w:tplc="B128F6F0">
      <w:numFmt w:val="decimal"/>
      <w:lvlText w:val=""/>
      <w:lvlJc w:val="left"/>
    </w:lvl>
    <w:lvl w:ilvl="8" w:tplc="1D0A7960">
      <w:numFmt w:val="decimal"/>
      <w:lvlText w:val=""/>
      <w:lvlJc w:val="left"/>
    </w:lvl>
  </w:abstractNum>
  <w:abstractNum w:abstractNumId="2" w15:restartNumberingAfterBreak="0">
    <w:nsid w:val="7C192E7A"/>
    <w:multiLevelType w:val="hybridMultilevel"/>
    <w:tmpl w:val="7F684B58"/>
    <w:lvl w:ilvl="0" w:tplc="D264E134">
      <w:start w:val="1"/>
      <w:numFmt w:val="bullet"/>
      <w:lvlText w:val="●"/>
      <w:lvlJc w:val="left"/>
      <w:pPr>
        <w:ind w:left="720" w:hanging="360"/>
      </w:pPr>
    </w:lvl>
    <w:lvl w:ilvl="1" w:tplc="4BB0F68A">
      <w:start w:val="1"/>
      <w:numFmt w:val="bullet"/>
      <w:lvlText w:val="○"/>
      <w:lvlJc w:val="left"/>
      <w:pPr>
        <w:ind w:left="1440" w:hanging="360"/>
      </w:pPr>
    </w:lvl>
    <w:lvl w:ilvl="2" w:tplc="A0C88200">
      <w:start w:val="1"/>
      <w:numFmt w:val="bullet"/>
      <w:lvlText w:val="■"/>
      <w:lvlJc w:val="left"/>
      <w:pPr>
        <w:ind w:left="2160" w:hanging="360"/>
      </w:pPr>
    </w:lvl>
    <w:lvl w:ilvl="3" w:tplc="D6E0F85C">
      <w:start w:val="1"/>
      <w:numFmt w:val="bullet"/>
      <w:lvlText w:val="●"/>
      <w:lvlJc w:val="left"/>
      <w:pPr>
        <w:ind w:left="2880" w:hanging="360"/>
      </w:pPr>
    </w:lvl>
    <w:lvl w:ilvl="4" w:tplc="72709380">
      <w:start w:val="1"/>
      <w:numFmt w:val="bullet"/>
      <w:lvlText w:val="○"/>
      <w:lvlJc w:val="left"/>
      <w:pPr>
        <w:ind w:left="3600" w:hanging="360"/>
      </w:pPr>
    </w:lvl>
    <w:lvl w:ilvl="5" w:tplc="3E46745C">
      <w:start w:val="1"/>
      <w:numFmt w:val="bullet"/>
      <w:lvlText w:val="■"/>
      <w:lvlJc w:val="left"/>
      <w:pPr>
        <w:ind w:left="4320" w:hanging="360"/>
      </w:pPr>
    </w:lvl>
    <w:lvl w:ilvl="6" w:tplc="4A480854">
      <w:start w:val="1"/>
      <w:numFmt w:val="bullet"/>
      <w:lvlText w:val="●"/>
      <w:lvlJc w:val="left"/>
      <w:pPr>
        <w:ind w:left="5040" w:hanging="360"/>
      </w:pPr>
    </w:lvl>
    <w:lvl w:ilvl="7" w:tplc="C562F9EA">
      <w:start w:val="1"/>
      <w:numFmt w:val="bullet"/>
      <w:lvlText w:val="●"/>
      <w:lvlJc w:val="left"/>
      <w:pPr>
        <w:ind w:left="5760" w:hanging="360"/>
      </w:pPr>
    </w:lvl>
    <w:lvl w:ilvl="8" w:tplc="330830EE">
      <w:start w:val="1"/>
      <w:numFmt w:val="bullet"/>
      <w:lvlText w:val="●"/>
      <w:lvlJc w:val="left"/>
      <w:pPr>
        <w:ind w:left="6480" w:hanging="360"/>
      </w:pPr>
    </w:lvl>
  </w:abstractNum>
  <w:num w:numId="1" w16cid:durableId="1462532676">
    <w:abstractNumId w:val="2"/>
    <w:lvlOverride w:ilvl="0">
      <w:startOverride w:val="1"/>
    </w:lvlOverride>
  </w:num>
  <w:num w:numId="2" w16cid:durableId="2031058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5C0"/>
    <w:rsid w:val="002D701D"/>
    <w:rsid w:val="003C00A8"/>
    <w:rsid w:val="00641079"/>
    <w:rsid w:val="00973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1016</Words>
  <Characters>5784</Characters>
  <Application>Microsoft Office Word</Application>
  <DocSecurity>0</DocSecurity>
  <Lines>170</Lines>
  <Paragraphs>133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1031 Exchangor</dc:title>
  <dc:creator>VisionWise Capital</dc:creator>
  <dc:description>Persona-tailored company overview for For Investors Working Against a 1031 Identification Clock</dc:description>
  <cp:lastModifiedBy>Ravi Jain</cp:lastModifiedBy>
  <cp:revision>2</cp:revision>
  <cp:lastPrinted>2026-04-25T21:24:00Z</cp:lastPrinted>
  <dcterms:created xsi:type="dcterms:W3CDTF">2026-04-25T21:24:00Z</dcterms:created>
  <dcterms:modified xsi:type="dcterms:W3CDTF">2026-04-25T21:24:00Z</dcterms:modified>
</cp:coreProperties>
</file>