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2898" w:rsidRDefault="00973974">
      <w:pPr>
        <w:spacing w:before="1600" w:after="200"/>
        <w:jc w:val="center"/>
      </w:pPr>
      <w:r>
        <w:rPr>
          <w:noProof/>
        </w:rPr>
        <w:drawing>
          <wp:inline distT="0" distB="0" distL="0" distR="0">
            <wp:extent cx="2667000" cy="609600"/>
            <wp:effectExtent l="0" t="0" r="0" b="0"/>
            <wp:docPr id="1" name="VWC Logo" descr="VisionWise Capital logo" title="VisionWise 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609600"/>
                    </a:xfrm>
                    <a:prstGeom prst="rect">
                      <a:avLst/>
                    </a:prstGeom>
                  </pic:spPr>
                </pic:pic>
              </a:graphicData>
            </a:graphic>
          </wp:inline>
        </w:drawing>
      </w:r>
    </w:p>
    <w:p w:rsidR="008F2898" w:rsidRDefault="00973974">
      <w:pPr>
        <w:spacing w:after="800"/>
        <w:jc w:val="center"/>
      </w:pPr>
      <w:r>
        <w:rPr>
          <w:i/>
          <w:iCs/>
          <w:color w:val="8A8F94"/>
          <w:sz w:val="24"/>
          <w:szCs w:val="24"/>
        </w:rPr>
        <w:t>Multifamily Real Estate Investments</w:t>
      </w:r>
    </w:p>
    <w:p w:rsidR="008F2898" w:rsidRDefault="008F2898">
      <w:pPr>
        <w:pBdr>
          <w:bottom w:val="single" w:sz="18" w:space="1" w:color="A3D55D"/>
        </w:pBdr>
        <w:spacing w:before="200" w:after="800"/>
        <w:jc w:val="center"/>
      </w:pPr>
    </w:p>
    <w:p w:rsidR="008F2898" w:rsidRDefault="00973974">
      <w:pPr>
        <w:spacing w:after="240"/>
        <w:jc w:val="center"/>
      </w:pPr>
      <w:r>
        <w:rPr>
          <w:rFonts w:ascii="Lato" w:eastAsia="Lato" w:hAnsi="Lato" w:cs="Lato"/>
          <w:b/>
          <w:bCs/>
          <w:sz w:val="56"/>
          <w:szCs w:val="56"/>
        </w:rPr>
        <w:t>A company overview</w:t>
      </w:r>
    </w:p>
    <w:p w:rsidR="008F2898" w:rsidRDefault="00973974">
      <w:pPr>
        <w:spacing w:after="1200"/>
        <w:jc w:val="center"/>
      </w:pPr>
      <w:r>
        <w:rPr>
          <w:color w:val="666B70"/>
          <w:sz w:val="26"/>
          <w:szCs w:val="26"/>
        </w:rPr>
        <w:t>For Accredited Investors Who Want a Quarterly Check, Not a Quarterly Headache</w:t>
      </w:r>
    </w:p>
    <w:p w:rsidR="008F2898" w:rsidRDefault="00973974">
      <w:pPr>
        <w:spacing w:before="800" w:after="60"/>
        <w:jc w:val="center"/>
      </w:pPr>
      <w:r>
        <w:t>VisionWise Capital LLC  ·  Mission Viejo, California</w:t>
      </w:r>
    </w:p>
    <w:p w:rsidR="008F2898" w:rsidRDefault="00973974">
      <w:pPr>
        <w:spacing w:after="60"/>
        <w:jc w:val="center"/>
      </w:pPr>
      <w:r>
        <w:rPr>
          <w:color w:val="8A8F94"/>
          <w:sz w:val="20"/>
          <w:szCs w:val="20"/>
        </w:rPr>
        <w:t>(949) 441-5580  ·  info@visionwisecapital.com  ·  visionwisecapital.com</w:t>
      </w:r>
    </w:p>
    <w:p w:rsidR="008F2898" w:rsidRDefault="00973974">
      <w:pPr>
        <w:pageBreakBefore/>
        <w:spacing w:before="280" w:after="200"/>
      </w:pPr>
      <w:r>
        <w:rPr>
          <w:rFonts w:ascii="Lato" w:eastAsia="Lato" w:hAnsi="Lato" w:cs="Lato"/>
          <w:b/>
          <w:bCs/>
          <w:sz w:val="48"/>
          <w:szCs w:val="48"/>
        </w:rPr>
        <w:lastRenderedPageBreak/>
        <w:t>For the Accredited Investor Building Income, Not Speculation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F2898">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8F2898" w:rsidRDefault="00973974">
            <w:pPr>
              <w:spacing w:after="80"/>
            </w:pPr>
            <w:r>
              <w:rPr>
                <w:rFonts w:ascii="Lato" w:eastAsia="Lato" w:hAnsi="Lato" w:cs="Lato"/>
                <w:b/>
                <w:bCs/>
                <w:sz w:val="18"/>
                <w:szCs w:val="18"/>
              </w:rPr>
              <w:t>Why we are writing</w:t>
            </w:r>
          </w:p>
          <w:p w:rsidR="008F2898" w:rsidRDefault="00973974">
            <w:r>
              <w:rPr>
                <w:i/>
                <w:iCs/>
                <w:sz w:val="24"/>
                <w:szCs w:val="24"/>
              </w:rPr>
              <w:t>You have done the building. Your next 20 years should pay you for it — without the volatility of public markets.</w:t>
            </w:r>
          </w:p>
        </w:tc>
      </w:tr>
    </w:tbl>
    <w:p w:rsidR="008F2898" w:rsidRDefault="008F2898">
      <w:pPr>
        <w:spacing w:after="120"/>
      </w:pPr>
    </w:p>
    <w:p w:rsidR="008F2898" w:rsidRDefault="00973974">
      <w:pPr>
        <w:spacing w:after="140"/>
      </w:pPr>
      <w:r>
        <w:t>VisionWise Capital is a 12-year-old private real estate investment firm headquartered in Mission Viejo, California. We acquire and improve coastal Southern California multifamily property and pass tax-advantaged income and capital appreciation to accredited investors through single-asset LLCs. Our goal — and our investors' goal — is conservative, durable income from a real asset you can drive past.</w:t>
      </w:r>
    </w:p>
    <w:p w:rsidR="008F2898" w:rsidRDefault="008F2898">
      <w:pPr>
        <w:spacing w:after="80"/>
      </w:pPr>
    </w:p>
    <w:p w:rsidR="008F2898" w:rsidRDefault="00973974">
      <w:pPr>
        <w:spacing w:after="140"/>
      </w:pPr>
      <w:r>
        <w:t>We are inviting accredited investors to participate in our current and upcoming Direct-deal offerings, with a $100,000 minimum. If you have invested with us before, this letter is partly a portfolio update; if you have not, this is an introduction.</w:t>
      </w:r>
    </w:p>
    <w:p w:rsidR="008F2898" w:rsidRDefault="00973974">
      <w:pPr>
        <w:pBdr>
          <w:bottom w:val="single" w:sz="12" w:space="4" w:color="A3D55D"/>
        </w:pBdr>
        <w:spacing w:before="240" w:after="160"/>
      </w:pPr>
      <w:r>
        <w:rPr>
          <w:rFonts w:ascii="Lato" w:eastAsia="Lato" w:hAnsi="Lato" w:cs="Lato"/>
          <w:b/>
          <w:bCs/>
          <w:sz w:val="32"/>
          <w:szCs w:val="32"/>
        </w:rPr>
        <w:t>Why VisionWise Capital matters to you</w:t>
      </w:r>
    </w:p>
    <w:p w:rsidR="008F2898" w:rsidRDefault="00973974">
      <w:pPr>
        <w:pStyle w:val="ListParagraph"/>
        <w:numPr>
          <w:ilvl w:val="0"/>
          <w:numId w:val="2"/>
        </w:numPr>
        <w:spacing w:after="60"/>
      </w:pPr>
      <w:r>
        <w:t>Real asset, real income. Multifamily housing pays a coupon while it appreciates. Our portfolio has averaged a 23.95% levered project return over 24 deals.</w:t>
      </w:r>
    </w:p>
    <w:p w:rsidR="008F2898" w:rsidRDefault="00973974">
      <w:pPr>
        <w:pStyle w:val="ListParagraph"/>
        <w:numPr>
          <w:ilvl w:val="0"/>
          <w:numId w:val="2"/>
        </w:numPr>
        <w:spacing w:after="60"/>
      </w:pPr>
      <w:r>
        <w:t>Not correlated to the stock market. Public REITs trade with stocks; direct-owned multifamily does not. The cycle here is real estate, not the daily news.</w:t>
      </w:r>
    </w:p>
    <w:p w:rsidR="008F2898" w:rsidRDefault="00973974">
      <w:pPr>
        <w:pStyle w:val="ListParagraph"/>
        <w:numPr>
          <w:ilvl w:val="0"/>
          <w:numId w:val="2"/>
        </w:numPr>
        <w:spacing w:after="60"/>
      </w:pPr>
      <w:r>
        <w:t>Tax-advantaged. Depreciation pass-through and step-up basis at death make multifamily one of the most efficient legacy-building assets available.</w:t>
      </w:r>
    </w:p>
    <w:p w:rsidR="008F2898" w:rsidRDefault="00973974">
      <w:pPr>
        <w:pStyle w:val="ListParagraph"/>
        <w:numPr>
          <w:ilvl w:val="0"/>
          <w:numId w:val="2"/>
        </w:numPr>
        <w:spacing w:after="60"/>
      </w:pPr>
      <w:r>
        <w:t>Conservative leverage. We finance most deals at 50% LTV. We will not be the operator forced to sell into a weak market.</w:t>
      </w:r>
    </w:p>
    <w:p w:rsidR="008F2898" w:rsidRDefault="00973974">
      <w:pPr>
        <w:pBdr>
          <w:bottom w:val="single" w:sz="12" w:space="4" w:color="A3D55D"/>
        </w:pBdr>
        <w:spacing w:before="240" w:after="160"/>
      </w:pPr>
      <w:r>
        <w:rPr>
          <w:rFonts w:ascii="Lato" w:eastAsia="Lato" w:hAnsi="Lato" w:cs="Lato"/>
          <w:b/>
          <w:bCs/>
          <w:sz w:val="32"/>
          <w:szCs w:val="32"/>
        </w:rPr>
        <w:t>How VisionWise Capital operates</w:t>
      </w:r>
    </w:p>
    <w:p w:rsidR="008F2898" w:rsidRDefault="00973974">
      <w:pPr>
        <w:spacing w:after="140"/>
      </w:pPr>
      <w:r>
        <w:t>We acquire under-managed multifamily property in coastal Southern California — five to seventy-five units, vintage 1940 to 2000 — and improve it to market standard. The playbook is three steps:</w:t>
      </w:r>
    </w:p>
    <w:p w:rsidR="008F2898" w:rsidRDefault="00973974">
      <w:pPr>
        <w:pStyle w:val="ListParagraph"/>
        <w:numPr>
          <w:ilvl w:val="0"/>
          <w:numId w:val="2"/>
        </w:numPr>
        <w:spacing w:after="60"/>
      </w:pPr>
      <w:r>
        <w:t>Acquire patiently. We track properties for months at our price, not the seller's. The completeness of our buyer package wins deals where the highest offer does not.</w:t>
      </w:r>
    </w:p>
    <w:p w:rsidR="008F2898" w:rsidRDefault="00973974">
      <w:pPr>
        <w:pStyle w:val="ListParagraph"/>
        <w:numPr>
          <w:ilvl w:val="0"/>
          <w:numId w:val="2"/>
        </w:numPr>
        <w:spacing w:after="60"/>
      </w:pPr>
      <w:r>
        <w:t>Modernize in-house. We employ a full-time construction manager with 30 years of experience and roughly 35 in-house tradesmen. The work is not subcontracted to whoever returns the call.</w:t>
      </w:r>
    </w:p>
    <w:p w:rsidR="008F2898" w:rsidRDefault="00973974">
      <w:pPr>
        <w:pStyle w:val="ListParagraph"/>
        <w:numPr>
          <w:ilvl w:val="0"/>
          <w:numId w:val="2"/>
        </w:numPr>
        <w:spacing w:after="60"/>
      </w:pPr>
      <w:r>
        <w:t>Move rents to market. Eighteen to twenty-four months later, the property is at market rents and operating at stabilized cap rates. We hold for income or sell for capital appreciation.</w:t>
      </w:r>
    </w:p>
    <w:p w:rsidR="008F2898" w:rsidRDefault="00973974">
      <w:pPr>
        <w:spacing w:after="140"/>
      </w:pPr>
      <w:r>
        <w:lastRenderedPageBreak/>
        <w:t>Across 24 deals over 12 years, the portfolio has produced 23.95% average levered project returns — including a -33% paper-loss deal we will discuss before any other deal.</w:t>
      </w:r>
    </w:p>
    <w:p w:rsidR="008F2898" w:rsidRDefault="00973974">
      <w:pPr>
        <w:pBdr>
          <w:bottom w:val="single" w:sz="12" w:space="4" w:color="A3D55D"/>
        </w:pBdr>
        <w:spacing w:before="240" w:after="160"/>
      </w:pPr>
      <w:r>
        <w:rPr>
          <w:rFonts w:ascii="Lato" w:eastAsia="Lato" w:hAnsi="Lato" w:cs="Lato"/>
          <w:b/>
          <w:bCs/>
          <w:sz w:val="32"/>
          <w:szCs w:val="32"/>
        </w:rPr>
        <w:t>Track record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580"/>
      </w:tblGrid>
      <w:tr w:rsidR="008F2898">
        <w:tblPrEx>
          <w:tblCellMar>
            <w:top w:w="0" w:type="dxa"/>
            <w:bottom w:w="0" w:type="dxa"/>
          </w:tblCellMar>
        </w:tblPrEx>
        <w:trPr>
          <w:tblHeader/>
        </w:trPr>
        <w:tc>
          <w:tcPr>
            <w:tcW w:w="350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8F2898" w:rsidRDefault="00973974">
            <w:r>
              <w:rPr>
                <w:rFonts w:ascii="Lato" w:eastAsia="Lato" w:hAnsi="Lato" w:cs="Lato"/>
                <w:b/>
                <w:bCs/>
                <w:color w:val="FFFFFF"/>
                <w:sz w:val="20"/>
                <w:szCs w:val="20"/>
              </w:rPr>
              <w:t>Metric</w:t>
            </w:r>
          </w:p>
        </w:tc>
        <w:tc>
          <w:tcPr>
            <w:tcW w:w="658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8F2898" w:rsidRDefault="00973974">
            <w:r>
              <w:rPr>
                <w:rFonts w:ascii="Lato" w:eastAsia="Lato" w:hAnsi="Lato" w:cs="Lato"/>
                <w:b/>
                <w:bCs/>
                <w:color w:val="FFFFFF"/>
                <w:sz w:val="20"/>
                <w:szCs w:val="20"/>
              </w:rPr>
              <w:t>Value</w:t>
            </w:r>
          </w:p>
        </w:tc>
      </w:tr>
      <w:tr w:rsidR="008F2898">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Years operating</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12</w:t>
            </w:r>
          </w:p>
        </w:tc>
      </w:tr>
      <w:tr w:rsidR="008F2898">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sz w:val="20"/>
                <w:szCs w:val="20"/>
              </w:rPr>
              <w:t>Total transactions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sz w:val="20"/>
                <w:szCs w:val="20"/>
              </w:rPr>
              <w:t>24</w:t>
            </w:r>
          </w:p>
        </w:tc>
      </w:tr>
      <w:tr w:rsidR="008F2898">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Total units acquired</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227</w:t>
            </w:r>
          </w:p>
        </w:tc>
      </w:tr>
      <w:tr w:rsidR="008F2898">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sz w:val="20"/>
                <w:szCs w:val="20"/>
              </w:rPr>
              <w:t>Total cost basis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sz w:val="20"/>
                <w:szCs w:val="20"/>
              </w:rPr>
              <w:t>$103.0M</w:t>
            </w:r>
          </w:p>
        </w:tc>
      </w:tr>
      <w:tr w:rsidR="008F2898">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Total equity invested by LPs</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$53.3M</w:t>
            </w:r>
          </w:p>
        </w:tc>
      </w:tr>
      <w:tr w:rsidR="008F2898">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sz w:val="20"/>
                <w:szCs w:val="20"/>
              </w:rPr>
              <w:t>Realized + estimated profit</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sz w:val="20"/>
                <w:szCs w:val="20"/>
              </w:rPr>
              <w:t>$12.8M</w:t>
            </w:r>
          </w:p>
        </w:tc>
      </w:tr>
      <w:tr w:rsidR="008F2898">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Average levered project return</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23.95%</w:t>
            </w:r>
          </w:p>
        </w:tc>
      </w:tr>
      <w:tr w:rsidR="008F2898">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sz w:val="20"/>
                <w:szCs w:val="20"/>
              </w:rPr>
              <w:t>Loss disclosure</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sz w:val="20"/>
                <w:szCs w:val="20"/>
              </w:rPr>
              <w:t>1 paper-loss deal of 24, fully transparent</w:t>
            </w:r>
          </w:p>
        </w:tc>
      </w:tr>
    </w:tbl>
    <w:p w:rsidR="008F2898" w:rsidRDefault="00973974">
      <w:pPr>
        <w:pBdr>
          <w:bottom w:val="single" w:sz="12" w:space="4" w:color="A3D55D"/>
        </w:pBdr>
        <w:spacing w:before="240" w:after="160"/>
      </w:pPr>
      <w:r>
        <w:rPr>
          <w:rFonts w:ascii="Lato" w:eastAsia="Lato" w:hAnsi="Lato" w:cs="Lato"/>
          <w:b/>
          <w:bCs/>
          <w:sz w:val="32"/>
          <w:szCs w:val="32"/>
        </w:rPr>
        <w:t>Case study one</w:t>
      </w:r>
    </w:p>
    <w:p w:rsidR="008F2898" w:rsidRDefault="00973974">
      <w:pPr>
        <w:spacing w:before="180" w:after="80"/>
      </w:pPr>
      <w:r>
        <w:rPr>
          <w:rFonts w:ascii="Lato" w:eastAsia="Lato" w:hAnsi="Lato" w:cs="Lato"/>
          <w:b/>
          <w:bCs/>
          <w:color w:val="5C9627"/>
          <w:sz w:val="24"/>
          <w:szCs w:val="24"/>
        </w:rPr>
        <w:t>4921 Charlene Circle — Huntington Beach</w:t>
      </w:r>
    </w:p>
    <w:p w:rsidR="008F2898" w:rsidRDefault="00973974">
      <w:pPr>
        <w:spacing w:after="140"/>
      </w:pPr>
      <w:r>
        <w:rPr>
          <w:i/>
          <w:iCs/>
          <w:color w:val="8A8F94"/>
          <w:sz w:val="20"/>
          <w:szCs w:val="20"/>
        </w:rPr>
        <w:t>Sold · 6 units · Acquired December 2020 · Sold December 2022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F2898">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8F2898" w:rsidRDefault="00973974">
            <w:pPr>
              <w:spacing w:after="80"/>
            </w:pPr>
            <w:r>
              <w:rPr>
                <w:rFonts w:ascii="Lato" w:eastAsia="Lato" w:hAnsi="Lato" w:cs="Lato"/>
                <w:b/>
                <w:bCs/>
                <w:sz w:val="18"/>
                <w:szCs w:val="18"/>
              </w:rPr>
              <w:t>Headline</w:t>
            </w:r>
          </w:p>
          <w:p w:rsidR="008F2898" w:rsidRDefault="00973974">
            <w:r>
              <w:rPr>
                <w:i/>
                <w:iCs/>
                <w:sz w:val="24"/>
                <w:szCs w:val="24"/>
              </w:rPr>
              <w:t>51.09% levered project return — 24-month cycle</w:t>
            </w:r>
          </w:p>
        </w:tc>
      </w:tr>
    </w:tbl>
    <w:p w:rsidR="008F2898" w:rsidRDefault="008F2898">
      <w:pPr>
        <w:spacing w:after="80"/>
      </w:pPr>
    </w:p>
    <w:p w:rsidR="008F2898" w:rsidRDefault="00973974">
      <w:pPr>
        <w:spacing w:after="140"/>
      </w:pPr>
      <w:r>
        <w:t>The sister building to VWC's 4931 Charlene Circle property — literally next door, same building footprint, shared driveway. VWC walked into this deal with a verbatim playbook: same neighborhood, same product, same renovation scope, same property manager. From acquisition to sale, exactly 24 months. Improvements were complete by June 2021 in time for the summer leasing season.</w:t>
      </w:r>
    </w:p>
    <w:p w:rsidR="008F2898" w:rsidRDefault="00973974">
      <w:pPr>
        <w:spacing w:before="180" w:after="80"/>
      </w:pPr>
      <w:r>
        <w:rPr>
          <w:rFonts w:ascii="Lato" w:eastAsia="Lato" w:hAnsi="Lato" w:cs="Lato"/>
          <w:b/>
          <w:bCs/>
          <w:color w:val="5C9627"/>
          <w:sz w:val="24"/>
          <w:szCs w:val="24"/>
        </w:rPr>
        <w:t>What this deal teaches</w:t>
      </w:r>
    </w:p>
    <w:p w:rsidR="008F2898" w:rsidRDefault="00973974">
      <w:pPr>
        <w:spacing w:after="140"/>
      </w:pPr>
      <w:r>
        <w:t>When you operate enough Southern California coastal multifamily, sister-property acquisitions become low-risk repeats of work you've already proven. Investors paid for an information advantage, not a market guess.</w:t>
      </w:r>
    </w:p>
    <w:p w:rsidR="008F2898" w:rsidRDefault="00973974">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$2,090,000 ($348K/unit)</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CapEx</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sz w:val="20"/>
                <w:szCs w:val="20"/>
              </w:rPr>
              <w:t>$173,950</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lastRenderedPageBreak/>
              <w:t>Total cost</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$2,513,350</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sz w:val="20"/>
                <w:szCs w:val="20"/>
              </w:rPr>
              <w:t>$1,365,000 (54% LTV)</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Sale price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$3,100,000 ($517K/unit)</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Realized profit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sz w:val="20"/>
                <w:szCs w:val="20"/>
              </w:rPr>
              <w:t>$586,650</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Levered return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51.09%</w:t>
            </w:r>
          </w:p>
        </w:tc>
      </w:tr>
    </w:tbl>
    <w:p w:rsidR="008F2898" w:rsidRDefault="008F2898">
      <w:pPr>
        <w:spacing w:after="120"/>
      </w:pPr>
    </w:p>
    <w:p w:rsidR="008F2898" w:rsidRDefault="00973974">
      <w:pPr>
        <w:pBdr>
          <w:bottom w:val="single" w:sz="12" w:space="4" w:color="A3D55D"/>
        </w:pBdr>
        <w:spacing w:before="240" w:after="160"/>
      </w:pPr>
      <w:r>
        <w:rPr>
          <w:rFonts w:ascii="Lato" w:eastAsia="Lato" w:hAnsi="Lato" w:cs="Lato"/>
          <w:b/>
          <w:bCs/>
          <w:sz w:val="32"/>
          <w:szCs w:val="32"/>
        </w:rPr>
        <w:t>Case study two</w:t>
      </w:r>
    </w:p>
    <w:p w:rsidR="008F2898" w:rsidRDefault="00973974">
      <w:pPr>
        <w:spacing w:before="180" w:after="80"/>
      </w:pPr>
      <w:r>
        <w:rPr>
          <w:rFonts w:ascii="Lato" w:eastAsia="Lato" w:hAnsi="Lato" w:cs="Lato"/>
          <w:b/>
          <w:bCs/>
          <w:color w:val="5C9627"/>
          <w:sz w:val="24"/>
          <w:szCs w:val="24"/>
        </w:rPr>
        <w:t>374 Cypress Drive — Laguna Beach (Cypress Garden Apartments)</w:t>
      </w:r>
    </w:p>
    <w:p w:rsidR="008F2898" w:rsidRDefault="00973974">
      <w:pPr>
        <w:spacing w:after="140"/>
      </w:pPr>
      <w:r>
        <w:rPr>
          <w:i/>
          <w:iCs/>
          <w:color w:val="8A8F94"/>
          <w:sz w:val="20"/>
          <w:szCs w:val="20"/>
        </w:rPr>
        <w:t>Stabilized · 10 units · Acquired September 2020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F2898">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8F2898" w:rsidRDefault="00973974">
            <w:pPr>
              <w:spacing w:after="80"/>
            </w:pPr>
            <w:r>
              <w:rPr>
                <w:rFonts w:ascii="Lato" w:eastAsia="Lato" w:hAnsi="Lato" w:cs="Lato"/>
                <w:b/>
                <w:bCs/>
                <w:sz w:val="18"/>
                <w:szCs w:val="18"/>
              </w:rPr>
              <w:t>Headline</w:t>
            </w:r>
          </w:p>
          <w:p w:rsidR="008F2898" w:rsidRDefault="00973974">
            <w:r>
              <w:rPr>
                <w:i/>
                <w:iCs/>
                <w:sz w:val="24"/>
                <w:szCs w:val="24"/>
              </w:rPr>
              <w:t>Estimated 72.30% levered project return</w:t>
            </w:r>
          </w:p>
        </w:tc>
      </w:tr>
    </w:tbl>
    <w:p w:rsidR="008F2898" w:rsidRDefault="008F2898">
      <w:pPr>
        <w:spacing w:after="80"/>
      </w:pPr>
    </w:p>
    <w:p w:rsidR="008F2898" w:rsidRDefault="00973974">
      <w:pPr>
        <w:spacing w:after="140"/>
      </w:pPr>
      <w:r>
        <w:t>A 10-unit "trophy" coastal asset originally built in 1948 — 1,618 feet from Main Beach in Laguna. The acquisition is itself the story: VWC reviewed the property in April 2020 at $1M below the listing price. The team waited four months while the seller resisted. By July, terms had moved to VWC. The deal closed in September 2020 — VWC's first acquisition for Multifamily Fund IV.</w:t>
      </w:r>
    </w:p>
    <w:p w:rsidR="008F2898" w:rsidRDefault="00973974">
      <w:pPr>
        <w:spacing w:before="180" w:after="80"/>
      </w:pPr>
      <w:r>
        <w:rPr>
          <w:rFonts w:ascii="Lato" w:eastAsia="Lato" w:hAnsi="Lato" w:cs="Lato"/>
          <w:b/>
          <w:bCs/>
          <w:color w:val="5C9627"/>
          <w:sz w:val="24"/>
          <w:szCs w:val="24"/>
        </w:rPr>
        <w:t>What this deal teaches</w:t>
      </w:r>
    </w:p>
    <w:p w:rsidR="008F2898" w:rsidRDefault="00973974">
      <w:pPr>
        <w:spacing w:after="140"/>
      </w:pPr>
      <w:r>
        <w:t>Patience on entry, not optimism on exit. The broker cited two reasons VWC won the deal: the completeness of the buyer package, and VWC's existing ownership of two other Laguna Beach properties within walking distance. Submarket density compounds.</w:t>
      </w:r>
    </w:p>
    <w:p w:rsidR="008F2898" w:rsidRDefault="00973974">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$4,050,000 ($405K/unit)</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CapEx</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sz w:val="20"/>
                <w:szCs w:val="20"/>
              </w:rPr>
              <w:t>$391,749</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Total cost</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$5,014,749</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sz w:val="20"/>
                <w:szCs w:val="20"/>
              </w:rPr>
              <w:t>$2,822,000 (56% LTV)</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Estimated market value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$6,600,000 ($660K/unit)</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Estimated profit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sz w:val="20"/>
                <w:szCs w:val="20"/>
              </w:rPr>
              <w:t>$1,585,251</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Levered return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72.30%</w:t>
            </w:r>
          </w:p>
        </w:tc>
      </w:tr>
    </w:tbl>
    <w:p w:rsidR="008F2898" w:rsidRDefault="008F2898">
      <w:pPr>
        <w:spacing w:after="120"/>
      </w:pPr>
    </w:p>
    <w:p w:rsidR="008F2898" w:rsidRDefault="00973974">
      <w:pPr>
        <w:pBdr>
          <w:bottom w:val="single" w:sz="12" w:space="4" w:color="A3D55D"/>
        </w:pBdr>
        <w:spacing w:before="240" w:after="160"/>
      </w:pPr>
      <w:r>
        <w:rPr>
          <w:rFonts w:ascii="Lato" w:eastAsia="Lato" w:hAnsi="Lato" w:cs="Lato"/>
          <w:b/>
          <w:bCs/>
          <w:sz w:val="32"/>
          <w:szCs w:val="32"/>
        </w:rPr>
        <w:t>What a Direct-deal investment with VWC looks like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lastRenderedPageBreak/>
              <w:t>Minimum</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$100,000 (accredited only)</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Hold period</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sz w:val="20"/>
                <w:szCs w:val="20"/>
              </w:rPr>
              <w:t>24–30 months</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Distributions</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Targeted quarterly — confirmed in offering documents</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Tax treatment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sz w:val="20"/>
                <w:szCs w:val="20"/>
              </w:rPr>
              <w:t>K-1 with depreciation pass-through; step-up basis at death</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Geography</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Coastal Orange County and San Diego County</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Leverage</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sz w:val="20"/>
                <w:szCs w:val="20"/>
              </w:rPr>
              <w:t>≤50% LTV after month 6</w:t>
            </w:r>
          </w:p>
        </w:tc>
      </w:tr>
      <w:tr w:rsidR="008F2898">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8F2898" w:rsidRDefault="00973974">
            <w:r>
              <w:rPr>
                <w:b/>
                <w:bCs/>
                <w:sz w:val="20"/>
                <w:szCs w:val="20"/>
              </w:rPr>
              <w:t>Reporting</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8F2898" w:rsidRDefault="00973974">
            <w:r>
              <w:rPr>
                <w:sz w:val="20"/>
                <w:szCs w:val="20"/>
              </w:rPr>
              <w:t>AppFolio Investor portal + quarterly written update from Sanford Coggins</w:t>
            </w:r>
          </w:p>
        </w:tc>
      </w:tr>
    </w:tbl>
    <w:p w:rsidR="008F2898" w:rsidRDefault="008F2898">
      <w:pPr>
        <w:spacing w:after="120"/>
      </w:pPr>
    </w:p>
    <w:p w:rsidR="008F2898" w:rsidRDefault="00973974">
      <w:pPr>
        <w:pBdr>
          <w:bottom w:val="single" w:sz="12" w:space="4" w:color="A3D55D"/>
        </w:pBdr>
        <w:spacing w:before="240" w:after="160"/>
      </w:pPr>
      <w:r>
        <w:rPr>
          <w:rFonts w:ascii="Lato" w:eastAsia="Lato" w:hAnsi="Lato" w:cs="Lato"/>
          <w:b/>
          <w:bCs/>
          <w:sz w:val="32"/>
          <w:szCs w:val="32"/>
        </w:rPr>
        <w:t>Our values, briefly</w:t>
      </w:r>
    </w:p>
    <w:p w:rsidR="008F2898" w:rsidRDefault="00973974">
      <w:pPr>
        <w:spacing w:after="140"/>
      </w:pPr>
      <w:r>
        <w:t>VisionWise Capital is governed by two pairs of values. The first pair — Entrepreneurial, Strategic Thinker, Resolute — describes how we work. The second pair — Faith and Clear Conscience — describes the standard we hold ourselves to.</w:t>
      </w:r>
    </w:p>
    <w:p w:rsidR="008F2898" w:rsidRDefault="00973974">
      <w:pPr>
        <w:pBdr>
          <w:left w:val="single" w:sz="18" w:space="12" w:color="A3D55D"/>
        </w:pBdr>
        <w:spacing w:before="120" w:after="120"/>
        <w:ind w:left="360"/>
      </w:pPr>
      <w:r>
        <w:rPr>
          <w:i/>
          <w:iCs/>
          <w:color w:val="666B70"/>
        </w:rPr>
        <w:t>Committed to investors over projects.</w:t>
      </w:r>
    </w:p>
    <w:p w:rsidR="008F2898" w:rsidRDefault="00973974">
      <w:pPr>
        <w:spacing w:after="140"/>
      </w:pPr>
      <w:r>
        <w:rPr>
          <w:i/>
          <w:iCs/>
          <w:color w:val="666B70"/>
        </w:rPr>
        <w:t>That is not a tagline. It is one of the four enumerated commitments under our Clear Conscience value, and it is what produced the leverage discipline that protected the portfolio through 2022–2024.</w:t>
      </w:r>
    </w:p>
    <w:p w:rsidR="008F2898" w:rsidRDefault="00973974">
      <w:pPr>
        <w:pBdr>
          <w:bottom w:val="single" w:sz="12" w:space="4" w:color="A3D55D"/>
        </w:pBdr>
        <w:spacing w:before="240" w:after="160"/>
      </w:pPr>
      <w:r>
        <w:rPr>
          <w:rFonts w:ascii="Lato" w:eastAsia="Lato" w:hAnsi="Lato" w:cs="Lato"/>
          <w:b/>
          <w:bCs/>
          <w:sz w:val="32"/>
          <w:szCs w:val="32"/>
        </w:rPr>
        <w:t>Next step</w:t>
      </w:r>
    </w:p>
    <w:p w:rsidR="008F2898" w:rsidRDefault="00973974">
      <w:pPr>
        <w:spacing w:after="140"/>
      </w:pPr>
      <w:r>
        <w:t>Please reply to this letter or call (949) 441-5580 to receive the active offering summary. If you would like to meet in person in Orange County, we are happy to arrange that.</w:t>
      </w:r>
    </w:p>
    <w:p w:rsidR="008F2898" w:rsidRDefault="008F2898">
      <w:pPr>
        <w:spacing w:after="120"/>
      </w:pPr>
    </w:p>
    <w:p w:rsidR="008F2898" w:rsidRDefault="00973974">
      <w:pPr>
        <w:spacing w:after="140"/>
      </w:pPr>
      <w:r>
        <w:rPr>
          <w:i/>
          <w:iCs/>
          <w:color w:val="666B70"/>
        </w:rPr>
        <w:t>The best compounders in real estate are not the boldest. They are the ones who set their leverage cap before the cycle turns. That is the kind of operator we have tried to be for 12 years.</w:t>
      </w:r>
    </w:p>
    <w:p w:rsidR="008F2898" w:rsidRDefault="008F2898">
      <w:pPr>
        <w:spacing w:after="120"/>
      </w:pPr>
    </w:p>
    <w:p w:rsidR="008F2898" w:rsidRDefault="008F2898">
      <w:pPr>
        <w:spacing w:after="120"/>
      </w:pPr>
    </w:p>
    <w:p w:rsidR="008F2898" w:rsidRDefault="00973974">
      <w:pPr>
        <w:spacing w:after="140"/>
      </w:pPr>
      <w:r>
        <w:rPr>
          <w:i/>
          <w:iCs/>
        </w:rPr>
        <w:t>With respect,</w:t>
      </w:r>
    </w:p>
    <w:p w:rsidR="008F2898" w:rsidRDefault="008F2898">
      <w:pPr>
        <w:spacing w:after="80"/>
      </w:pPr>
    </w:p>
    <w:p w:rsidR="008F2898" w:rsidRDefault="00973974">
      <w:pPr>
        <w:spacing w:after="140"/>
      </w:pPr>
      <w:r>
        <w:rPr>
          <w:rFonts w:ascii="Lato" w:eastAsia="Lato" w:hAnsi="Lato" w:cs="Lato"/>
          <w:b/>
          <w:bCs/>
          <w:sz w:val="26"/>
          <w:szCs w:val="26"/>
        </w:rPr>
        <w:t>Sanford D. Coggins</w:t>
      </w:r>
    </w:p>
    <w:p w:rsidR="008F2898" w:rsidRDefault="00973974">
      <w:pPr>
        <w:spacing w:after="140"/>
      </w:pPr>
      <w:r>
        <w:rPr>
          <w:i/>
          <w:iCs/>
          <w:color w:val="8A8F94"/>
          <w:sz w:val="20"/>
          <w:szCs w:val="20"/>
        </w:rPr>
        <w:t>CEO &amp; Founder, VisionWise Capital LLC</w:t>
      </w:r>
    </w:p>
    <w:p w:rsidR="008F2898" w:rsidRDefault="00973974">
      <w:pPr>
        <w:pageBreakBefore/>
        <w:spacing w:before="280" w:after="200"/>
      </w:pPr>
      <w:r>
        <w:rPr>
          <w:rFonts w:ascii="Lato" w:eastAsia="Lato" w:hAnsi="Lato" w:cs="Lato"/>
          <w:b/>
          <w:bCs/>
          <w:sz w:val="48"/>
          <w:szCs w:val="48"/>
        </w:rPr>
        <w:lastRenderedPageBreak/>
        <w:t>Important disclosures</w:t>
      </w:r>
    </w:p>
    <w:p w:rsidR="008F2898" w:rsidRDefault="00973974">
      <w:pPr>
        <w:spacing w:after="140"/>
      </w:pPr>
      <w:r>
        <w:rPr>
          <w:color w:val="666B70"/>
          <w:sz w:val="18"/>
          <w:szCs w:val="18"/>
        </w:rPr>
        <w:t>This communication is provided for informational purposes only and does not constitute an offer to sell or a solicitation of an offer to buy any securities. Any such offer or solicitation will be made only through definitive offering documents (including a private placement memorandum) provided to qualified investors. Past performance is not indicative of future results. Real estate investments involve risk, including loss of principal.</w:t>
      </w:r>
    </w:p>
    <w:p w:rsidR="008F2898" w:rsidRDefault="008F2898">
      <w:pPr>
        <w:spacing w:after="120"/>
      </w:pPr>
    </w:p>
    <w:p w:rsidR="008F2898" w:rsidRDefault="00973974">
      <w:pPr>
        <w:spacing w:after="140"/>
      </w:pPr>
      <w:r>
        <w:rPr>
          <w:i/>
          <w:iCs/>
          <w:color w:val="8A8F94"/>
          <w:sz w:val="18"/>
          <w:szCs w:val="18"/>
        </w:rPr>
        <w:t>This document is provided as an introduction to VisionWise Capital LLC. Specific deal economics, expected returns, and tax treatment for any particular offering will be detailed in the offering's Private Placement Memorandum and subscription documents.</w:t>
      </w:r>
    </w:p>
    <w:sectPr w:rsidR="008F2898">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3974" w:rsidRDefault="00973974">
      <w:r>
        <w:separator/>
      </w:r>
    </w:p>
  </w:endnote>
  <w:endnote w:type="continuationSeparator" w:id="0">
    <w:p w:rsidR="00973974" w:rsidRDefault="00973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auto"/>
    <w:pitch w:val="variable"/>
    <w:sig w:usb0="E00002FF" w:usb1="4000201B" w:usb2="00000028" w:usb3="00000000" w:csb0="0000019F" w:csb1="00000000"/>
  </w:font>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2898" w:rsidRDefault="00973974">
    <w:pPr>
      <w:pBdr>
        <w:top w:val="single" w:sz="6" w:space="4" w:color="A3D55D"/>
      </w:pBdr>
      <w:spacing w:after="60"/>
      <w:jc w:val="center"/>
    </w:pPr>
    <w:r>
      <w:rPr>
        <w:color w:val="8A8F94"/>
        <w:sz w:val="16"/>
        <w:szCs w:val="16"/>
      </w:rPr>
      <w:t>VisionWise Capital LLC  ·  visionwisecapital.com  ·  (949) 441-5580</w:t>
    </w:r>
  </w:p>
  <w:p w:rsidR="008F2898" w:rsidRDefault="00973974">
    <w:pPr>
      <w:jc w:val="center"/>
    </w:pPr>
    <w:r>
      <w:rPr>
        <w:color w:val="8A8F94"/>
        <w:sz w:val="16"/>
        <w:szCs w:val="16"/>
      </w:rPr>
      <w:t xml:space="preserve">Page </w:t>
    </w:r>
    <w:r>
      <w:rPr>
        <w:color w:val="8A8F94"/>
        <w:sz w:val="16"/>
        <w:szCs w:val="16"/>
      </w:rPr>
      <w:fldChar w:fldCharType="begin"/>
    </w:r>
    <w:r>
      <w:rPr>
        <w:color w:val="8A8F94"/>
        <w:sz w:val="16"/>
        <w:szCs w:val="16"/>
      </w:rPr>
      <w:instrText>PAGE</w:instrText>
    </w:r>
    <w:r>
      <w:rPr>
        <w:color w:val="8A8F94"/>
        <w:sz w:val="16"/>
        <w:szCs w:val="16"/>
      </w:rPr>
      <w:fldChar w:fldCharType="separate"/>
    </w:r>
    <w:r w:rsidR="00C623BB">
      <w:rPr>
        <w:noProof/>
        <w:color w:val="8A8F94"/>
        <w:sz w:val="16"/>
        <w:szCs w:val="16"/>
      </w:rPr>
      <w:t>1</w:t>
    </w:r>
    <w:r>
      <w:rPr>
        <w:color w:val="8A8F94"/>
        <w:sz w:val="16"/>
        <w:szCs w:val="16"/>
      </w:rPr>
      <w:fldChar w:fldCharType="end"/>
    </w:r>
    <w:r>
      <w:rPr>
        <w:color w:val="8A8F94"/>
        <w:sz w:val="16"/>
        <w:szCs w:val="16"/>
      </w:rPr>
      <w:t xml:space="preserve">  of  </w:t>
    </w:r>
    <w:r>
      <w:rPr>
        <w:color w:val="8A8F94"/>
        <w:sz w:val="16"/>
        <w:szCs w:val="16"/>
      </w:rPr>
      <w:fldChar w:fldCharType="begin"/>
    </w:r>
    <w:r>
      <w:rPr>
        <w:color w:val="8A8F94"/>
        <w:sz w:val="16"/>
        <w:szCs w:val="16"/>
      </w:rPr>
      <w:instrText>NUMPAGES</w:instrText>
    </w:r>
    <w:r>
      <w:rPr>
        <w:color w:val="8A8F94"/>
        <w:sz w:val="16"/>
        <w:szCs w:val="16"/>
      </w:rPr>
      <w:fldChar w:fldCharType="separate"/>
    </w:r>
    <w:r w:rsidR="00C623BB">
      <w:rPr>
        <w:noProof/>
        <w:color w:val="8A8F94"/>
        <w:sz w:val="16"/>
        <w:szCs w:val="16"/>
      </w:rPr>
      <w:t>2</w:t>
    </w:r>
    <w:r>
      <w:rPr>
        <w:color w:val="8A8F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3974" w:rsidRDefault="00973974">
      <w:r>
        <w:separator/>
      </w:r>
    </w:p>
  </w:footnote>
  <w:footnote w:type="continuationSeparator" w:id="0">
    <w:p w:rsidR="00973974" w:rsidRDefault="009739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2898" w:rsidRDefault="00973974">
    <w:pPr>
      <w:jc w:val="right"/>
    </w:pPr>
    <w:r>
      <w:rPr>
        <w:i/>
        <w:iCs/>
        <w:color w:val="8A8F94"/>
        <w:sz w:val="16"/>
        <w:szCs w:val="16"/>
      </w:rPr>
      <w:t>VisionWise Capital  ·  Company Overview  ·  For Accredited Investors Who Want a Quarterly Check, Not a Quarterly Headache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12E2"/>
    <w:multiLevelType w:val="hybridMultilevel"/>
    <w:tmpl w:val="457E44B8"/>
    <w:lvl w:ilvl="0" w:tplc="AB101B0C">
      <w:start w:val="1"/>
      <w:numFmt w:val="bullet"/>
      <w:lvlText w:val="•"/>
      <w:lvlJc w:val="left"/>
      <w:pPr>
        <w:ind w:left="540" w:hanging="270"/>
      </w:pPr>
      <w:rPr>
        <w:rFonts w:ascii="Open Sans" w:eastAsia="Open Sans" w:hAnsi="Open Sans" w:cs="Open Sans"/>
        <w:color w:val="5C9627"/>
      </w:rPr>
    </w:lvl>
    <w:lvl w:ilvl="1" w:tplc="DCF44132">
      <w:numFmt w:val="decimal"/>
      <w:lvlText w:val=""/>
      <w:lvlJc w:val="left"/>
    </w:lvl>
    <w:lvl w:ilvl="2" w:tplc="7542CB6A">
      <w:numFmt w:val="decimal"/>
      <w:lvlText w:val=""/>
      <w:lvlJc w:val="left"/>
    </w:lvl>
    <w:lvl w:ilvl="3" w:tplc="40543E6A">
      <w:numFmt w:val="decimal"/>
      <w:lvlText w:val=""/>
      <w:lvlJc w:val="left"/>
    </w:lvl>
    <w:lvl w:ilvl="4" w:tplc="C512D034">
      <w:numFmt w:val="decimal"/>
      <w:lvlText w:val=""/>
      <w:lvlJc w:val="left"/>
    </w:lvl>
    <w:lvl w:ilvl="5" w:tplc="0B04F234">
      <w:numFmt w:val="decimal"/>
      <w:lvlText w:val=""/>
      <w:lvlJc w:val="left"/>
    </w:lvl>
    <w:lvl w:ilvl="6" w:tplc="4A1EEDC8">
      <w:numFmt w:val="decimal"/>
      <w:lvlText w:val=""/>
      <w:lvlJc w:val="left"/>
    </w:lvl>
    <w:lvl w:ilvl="7" w:tplc="B660F1EC">
      <w:numFmt w:val="decimal"/>
      <w:lvlText w:val=""/>
      <w:lvlJc w:val="left"/>
    </w:lvl>
    <w:lvl w:ilvl="8" w:tplc="975632AC">
      <w:numFmt w:val="decimal"/>
      <w:lvlText w:val=""/>
      <w:lvlJc w:val="left"/>
    </w:lvl>
  </w:abstractNum>
  <w:abstractNum w:abstractNumId="1" w15:restartNumberingAfterBreak="0">
    <w:nsid w:val="0FB41FB7"/>
    <w:multiLevelType w:val="hybridMultilevel"/>
    <w:tmpl w:val="B57CDC96"/>
    <w:lvl w:ilvl="0" w:tplc="ECF878C8">
      <w:start w:val="1"/>
      <w:numFmt w:val="decimal"/>
      <w:lvlText w:val="%1."/>
      <w:lvlJc w:val="left"/>
      <w:pPr>
        <w:ind w:left="540" w:hanging="270"/>
      </w:pPr>
      <w:rPr>
        <w:rFonts w:ascii="Open Sans" w:eastAsia="Open Sans" w:hAnsi="Open Sans" w:cs="Open Sans"/>
        <w:b/>
        <w:bCs/>
        <w:color w:val="5C9627"/>
      </w:rPr>
    </w:lvl>
    <w:lvl w:ilvl="1" w:tplc="2F7E5034">
      <w:numFmt w:val="decimal"/>
      <w:lvlText w:val=""/>
      <w:lvlJc w:val="left"/>
    </w:lvl>
    <w:lvl w:ilvl="2" w:tplc="3D7AEEE0">
      <w:numFmt w:val="decimal"/>
      <w:lvlText w:val=""/>
      <w:lvlJc w:val="left"/>
    </w:lvl>
    <w:lvl w:ilvl="3" w:tplc="ABCC37FC">
      <w:numFmt w:val="decimal"/>
      <w:lvlText w:val=""/>
      <w:lvlJc w:val="left"/>
    </w:lvl>
    <w:lvl w:ilvl="4" w:tplc="429CA748">
      <w:numFmt w:val="decimal"/>
      <w:lvlText w:val=""/>
      <w:lvlJc w:val="left"/>
    </w:lvl>
    <w:lvl w:ilvl="5" w:tplc="203038A2">
      <w:numFmt w:val="decimal"/>
      <w:lvlText w:val=""/>
      <w:lvlJc w:val="left"/>
    </w:lvl>
    <w:lvl w:ilvl="6" w:tplc="F484282C">
      <w:numFmt w:val="decimal"/>
      <w:lvlText w:val=""/>
      <w:lvlJc w:val="left"/>
    </w:lvl>
    <w:lvl w:ilvl="7" w:tplc="6568BE9C">
      <w:numFmt w:val="decimal"/>
      <w:lvlText w:val=""/>
      <w:lvlJc w:val="left"/>
    </w:lvl>
    <w:lvl w:ilvl="8" w:tplc="1FC2C48C">
      <w:numFmt w:val="decimal"/>
      <w:lvlText w:val=""/>
      <w:lvlJc w:val="left"/>
    </w:lvl>
  </w:abstractNum>
  <w:abstractNum w:abstractNumId="2" w15:restartNumberingAfterBreak="0">
    <w:nsid w:val="67D7694E"/>
    <w:multiLevelType w:val="hybridMultilevel"/>
    <w:tmpl w:val="20141626"/>
    <w:lvl w:ilvl="0" w:tplc="35BA85C6">
      <w:start w:val="1"/>
      <w:numFmt w:val="bullet"/>
      <w:lvlText w:val="●"/>
      <w:lvlJc w:val="left"/>
      <w:pPr>
        <w:ind w:left="720" w:hanging="360"/>
      </w:pPr>
    </w:lvl>
    <w:lvl w:ilvl="1" w:tplc="A10AAE6C">
      <w:start w:val="1"/>
      <w:numFmt w:val="bullet"/>
      <w:lvlText w:val="○"/>
      <w:lvlJc w:val="left"/>
      <w:pPr>
        <w:ind w:left="1440" w:hanging="360"/>
      </w:pPr>
    </w:lvl>
    <w:lvl w:ilvl="2" w:tplc="F8906D18">
      <w:start w:val="1"/>
      <w:numFmt w:val="bullet"/>
      <w:lvlText w:val="■"/>
      <w:lvlJc w:val="left"/>
      <w:pPr>
        <w:ind w:left="2160" w:hanging="360"/>
      </w:pPr>
    </w:lvl>
    <w:lvl w:ilvl="3" w:tplc="B998AF6A">
      <w:start w:val="1"/>
      <w:numFmt w:val="bullet"/>
      <w:lvlText w:val="●"/>
      <w:lvlJc w:val="left"/>
      <w:pPr>
        <w:ind w:left="2880" w:hanging="360"/>
      </w:pPr>
    </w:lvl>
    <w:lvl w:ilvl="4" w:tplc="0FC8E2C2">
      <w:start w:val="1"/>
      <w:numFmt w:val="bullet"/>
      <w:lvlText w:val="○"/>
      <w:lvlJc w:val="left"/>
      <w:pPr>
        <w:ind w:left="3600" w:hanging="360"/>
      </w:pPr>
    </w:lvl>
    <w:lvl w:ilvl="5" w:tplc="E41EEC2A">
      <w:start w:val="1"/>
      <w:numFmt w:val="bullet"/>
      <w:lvlText w:val="■"/>
      <w:lvlJc w:val="left"/>
      <w:pPr>
        <w:ind w:left="4320" w:hanging="360"/>
      </w:pPr>
    </w:lvl>
    <w:lvl w:ilvl="6" w:tplc="BC3E28B4">
      <w:start w:val="1"/>
      <w:numFmt w:val="bullet"/>
      <w:lvlText w:val="●"/>
      <w:lvlJc w:val="left"/>
      <w:pPr>
        <w:ind w:left="5040" w:hanging="360"/>
      </w:pPr>
    </w:lvl>
    <w:lvl w:ilvl="7" w:tplc="E97E28D4">
      <w:start w:val="1"/>
      <w:numFmt w:val="bullet"/>
      <w:lvlText w:val="●"/>
      <w:lvlJc w:val="left"/>
      <w:pPr>
        <w:ind w:left="5760" w:hanging="360"/>
      </w:pPr>
    </w:lvl>
    <w:lvl w:ilvl="8" w:tplc="CB2CFB78">
      <w:start w:val="1"/>
      <w:numFmt w:val="bullet"/>
      <w:lvlText w:val="●"/>
      <w:lvlJc w:val="left"/>
      <w:pPr>
        <w:ind w:left="6480" w:hanging="360"/>
      </w:pPr>
    </w:lvl>
  </w:abstractNum>
  <w:num w:numId="1" w16cid:durableId="411975642">
    <w:abstractNumId w:val="2"/>
    <w:lvlOverride w:ilvl="0">
      <w:startOverride w:val="1"/>
    </w:lvlOverride>
  </w:num>
  <w:num w:numId="2" w16cid:durableId="210464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898"/>
    <w:rsid w:val="00641079"/>
    <w:rsid w:val="008F2898"/>
    <w:rsid w:val="00973974"/>
    <w:rsid w:val="00C62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FBF1ECE-0F8A-4637-8E66-633EC0CB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40464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rFonts w:ascii="Lato" w:eastAsia="Lato" w:hAnsi="Lato" w:cs="Lato"/>
      <w:b/>
      <w:bCs/>
      <w:sz w:val="48"/>
      <w:szCs w:val="48"/>
    </w:rPr>
  </w:style>
  <w:style w:type="paragraph" w:styleId="Heading2">
    <w:name w:val="heading 2"/>
    <w:uiPriority w:val="9"/>
    <w:semiHidden/>
    <w:unhideWhenUsed/>
    <w:qFormat/>
    <w:pPr>
      <w:spacing w:before="240" w:after="160"/>
      <w:outlineLvl w:val="1"/>
    </w:pPr>
    <w:rPr>
      <w:rFonts w:ascii="Lato" w:eastAsia="Lato" w:hAnsi="Lato" w:cs="Lato"/>
      <w:b/>
      <w:bCs/>
      <w:sz w:val="32"/>
      <w:szCs w:val="32"/>
    </w:rPr>
  </w:style>
  <w:style w:type="paragraph" w:styleId="Heading3">
    <w:name w:val="heading 3"/>
    <w:uiPriority w:val="9"/>
    <w:semiHidden/>
    <w:unhideWhenUsed/>
    <w:qFormat/>
    <w:pPr>
      <w:spacing w:before="180" w:after="80"/>
      <w:outlineLvl w:val="2"/>
    </w:pPr>
    <w:rPr>
      <w:rFonts w:ascii="Lato" w:eastAsia="Lato" w:hAnsi="Lato" w:cs="Lato"/>
      <w:b/>
      <w:bCs/>
      <w:color w:val="5C962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1066</Words>
  <Characters>6006</Characters>
  <Application>Microsoft Office Word</Application>
  <DocSecurity>0</DocSecurity>
  <Lines>171</Lines>
  <Paragraphs>133</Paragraphs>
  <ScaleCrop>false</ScaleCrop>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VWC Company Overview — Income-Seeking Accredited Retiree</dc:title>
  <dc:creator>VisionWise Capital</dc:creator>
  <dc:description>Persona-tailored company overview for For Accredited Investors Who Want a Quarterly Check, Not a Quarterly Headache</dc:description>
  <cp:lastModifiedBy>Ravi Jain</cp:lastModifiedBy>
  <cp:revision>2</cp:revision>
  <cp:lastPrinted>2026-04-25T21:24:00Z</cp:lastPrinted>
  <dcterms:created xsi:type="dcterms:W3CDTF">2026-04-25T21:24:00Z</dcterms:created>
  <dcterms:modified xsi:type="dcterms:W3CDTF">2026-04-25T21:24:00Z</dcterms:modified>
</cp:coreProperties>
</file>