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6B8E" w:rsidRDefault="008D3EAA">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066B8E" w:rsidRDefault="008D3EAA">
      <w:pPr>
        <w:spacing w:after="800"/>
        <w:jc w:val="center"/>
      </w:pPr>
      <w:r>
        <w:rPr>
          <w:i/>
          <w:iCs/>
          <w:color w:val="8A8F94"/>
          <w:sz w:val="24"/>
          <w:szCs w:val="24"/>
        </w:rPr>
        <w:t>Multifamily Real Estate Investments</w:t>
      </w:r>
    </w:p>
    <w:p w:rsidR="00066B8E" w:rsidRDefault="00066B8E">
      <w:pPr>
        <w:pBdr>
          <w:bottom w:val="single" w:sz="18" w:space="1" w:color="A3D55D"/>
        </w:pBdr>
        <w:spacing w:before="200" w:after="800"/>
        <w:jc w:val="center"/>
      </w:pPr>
    </w:p>
    <w:p w:rsidR="00066B8E" w:rsidRDefault="008D3EAA">
      <w:pPr>
        <w:spacing w:after="240"/>
        <w:jc w:val="center"/>
      </w:pPr>
      <w:r>
        <w:rPr>
          <w:rFonts w:ascii="Lato" w:eastAsia="Lato" w:hAnsi="Lato" w:cs="Lato"/>
          <w:b/>
          <w:bCs/>
          <w:sz w:val="56"/>
          <w:szCs w:val="56"/>
        </w:rPr>
        <w:t>A company overview</w:t>
      </w:r>
    </w:p>
    <w:p w:rsidR="00066B8E" w:rsidRDefault="008D3EAA">
      <w:pPr>
        <w:spacing w:after="1200"/>
        <w:jc w:val="center"/>
      </w:pPr>
      <w:r>
        <w:rPr>
          <w:color w:val="666B70"/>
          <w:sz w:val="26"/>
          <w:szCs w:val="26"/>
        </w:rPr>
        <w:t>For Accredited Investors With Self-Directed IRA Capital</w:t>
      </w:r>
    </w:p>
    <w:p w:rsidR="00066B8E" w:rsidRDefault="008D3EAA">
      <w:pPr>
        <w:spacing w:before="800" w:after="60"/>
        <w:jc w:val="center"/>
      </w:pPr>
      <w:r>
        <w:t>VisionWise Capital LLC  ·  Mission Viejo, California</w:t>
      </w:r>
    </w:p>
    <w:p w:rsidR="00066B8E" w:rsidRDefault="008D3EAA">
      <w:pPr>
        <w:spacing w:after="60"/>
        <w:jc w:val="center"/>
      </w:pPr>
      <w:r>
        <w:rPr>
          <w:color w:val="8A8F94"/>
          <w:sz w:val="20"/>
          <w:szCs w:val="20"/>
        </w:rPr>
        <w:t>(949) 441-5580  ·  info@visionwisecapital.com  ·  visionwisecapital.com</w:t>
      </w:r>
    </w:p>
    <w:p w:rsidR="00066B8E" w:rsidRDefault="008D3EAA">
      <w:pPr>
        <w:pageBreakBefore/>
        <w:spacing w:before="280" w:after="200"/>
      </w:pPr>
      <w:r>
        <w:rPr>
          <w:rFonts w:ascii="Lato" w:eastAsia="Lato" w:hAnsi="Lato" w:cs="Lato"/>
          <w:b/>
          <w:bCs/>
          <w:sz w:val="48"/>
          <w:szCs w:val="48"/>
        </w:rPr>
        <w:lastRenderedPageBreak/>
        <w:t>For the Self-Directed IRA Investor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6B8E">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066B8E" w:rsidRDefault="008D3EAA">
            <w:pPr>
              <w:spacing w:after="80"/>
            </w:pPr>
            <w:r>
              <w:rPr>
                <w:rFonts w:ascii="Lato" w:eastAsia="Lato" w:hAnsi="Lato" w:cs="Lato"/>
                <w:b/>
                <w:bCs/>
                <w:sz w:val="18"/>
                <w:szCs w:val="18"/>
              </w:rPr>
              <w:t>Why we are writing</w:t>
            </w:r>
          </w:p>
          <w:p w:rsidR="00066B8E" w:rsidRDefault="008D3EAA">
            <w:r>
              <w:rPr>
                <w:i/>
                <w:iCs/>
                <w:sz w:val="24"/>
                <w:szCs w:val="24"/>
              </w:rPr>
              <w:t>If your IRA cash is sitting at Equity Trust, STRATA, Quest, or Madison earning effectively nothing, we accept SDIRA money on every direct-deal we close.</w:t>
            </w:r>
          </w:p>
        </w:tc>
      </w:tr>
    </w:tbl>
    <w:p w:rsidR="00066B8E" w:rsidRDefault="00066B8E">
      <w:pPr>
        <w:spacing w:after="120"/>
      </w:pPr>
    </w:p>
    <w:p w:rsidR="00066B8E" w:rsidRDefault="008D3EAA">
      <w:pPr>
        <w:spacing w:after="140"/>
      </w:pPr>
      <w:r>
        <w:t>VisionWise Capital's Direct-deal multifamily offerings accept self-directed IRA capital through every major SDIRA custodian. We have a subscription packet calibrated for SDIRA paperwork, our minimum ($100,000) fits typical IRA balances, and our 24–30 month hold period aligns with how IRA investors think about time horizons.</w:t>
      </w:r>
    </w:p>
    <w:p w:rsidR="00066B8E" w:rsidRDefault="00066B8E">
      <w:pPr>
        <w:spacing w:after="80"/>
      </w:pPr>
    </w:p>
    <w:p w:rsidR="00066B8E" w:rsidRDefault="008D3EAA">
      <w:pPr>
        <w:spacing w:after="140"/>
      </w:pPr>
      <w:r>
        <w:t>If you hold meaningful cash in an SDIRA and are looking to deploy it into a real asset, we want a 30-minute phone call. We will walk you and your custodian through the subscription process step by step.</w:t>
      </w:r>
    </w:p>
    <w:p w:rsidR="00066B8E" w:rsidRDefault="008D3EAA">
      <w:pPr>
        <w:pBdr>
          <w:bottom w:val="single" w:sz="12" w:space="4" w:color="A3D55D"/>
        </w:pBdr>
        <w:spacing w:before="240" w:after="160"/>
      </w:pPr>
      <w:r>
        <w:rPr>
          <w:rFonts w:ascii="Lato" w:eastAsia="Lato" w:hAnsi="Lato" w:cs="Lato"/>
          <w:b/>
          <w:bCs/>
          <w:sz w:val="32"/>
          <w:szCs w:val="32"/>
        </w:rPr>
        <w:t>Why VisionWise Capital matters to you</w:t>
      </w:r>
    </w:p>
    <w:p w:rsidR="00066B8E" w:rsidRDefault="008D3EAA">
      <w:pPr>
        <w:pStyle w:val="ListParagraph"/>
        <w:numPr>
          <w:ilvl w:val="0"/>
          <w:numId w:val="2"/>
        </w:numPr>
        <w:spacing w:after="60"/>
      </w:pPr>
      <w:r>
        <w:t>We accept all major SDIRA custodians. Equity Trust, STRATA, Quest, Madison, Directed IRA, Entrust, Pacific Premier, Kingdom Trust.</w:t>
      </w:r>
    </w:p>
    <w:p w:rsidR="00066B8E" w:rsidRDefault="008D3EAA">
      <w:pPr>
        <w:pStyle w:val="ListParagraph"/>
        <w:numPr>
          <w:ilvl w:val="0"/>
          <w:numId w:val="2"/>
        </w:numPr>
        <w:spacing w:after="60"/>
      </w:pPr>
      <w:r>
        <w:t>Subscription packet ready for IRA paperwork. Most sponsors hand you a packet and wish you luck. We move with your custodian directly.</w:t>
      </w:r>
    </w:p>
    <w:p w:rsidR="00066B8E" w:rsidRDefault="008D3EAA">
      <w:pPr>
        <w:pStyle w:val="ListParagraph"/>
        <w:numPr>
          <w:ilvl w:val="0"/>
          <w:numId w:val="2"/>
        </w:numPr>
        <w:spacing w:after="60"/>
      </w:pPr>
      <w:r>
        <w:t>$100,000 minimum fits a typical IRA balance. You don't need to roll multiple accounts to participate.</w:t>
      </w:r>
    </w:p>
    <w:p w:rsidR="00066B8E" w:rsidRDefault="008D3EAA">
      <w:pPr>
        <w:pStyle w:val="ListParagraph"/>
        <w:numPr>
          <w:ilvl w:val="0"/>
          <w:numId w:val="2"/>
        </w:numPr>
        <w:spacing w:after="60"/>
      </w:pPr>
      <w:r>
        <w:t>We disclose the UBIT/UDFI math up front. On the leveraged portion of any deal, IRA capital has tax considerations. We provide the calculation; your tax advisor confirms.</w:t>
      </w:r>
    </w:p>
    <w:p w:rsidR="00066B8E" w:rsidRDefault="008D3EAA">
      <w:pPr>
        <w:pBdr>
          <w:bottom w:val="single" w:sz="12" w:space="4" w:color="A3D55D"/>
        </w:pBdr>
        <w:spacing w:before="240" w:after="160"/>
      </w:pPr>
      <w:r>
        <w:rPr>
          <w:rFonts w:ascii="Lato" w:eastAsia="Lato" w:hAnsi="Lato" w:cs="Lato"/>
          <w:b/>
          <w:bCs/>
          <w:sz w:val="32"/>
          <w:szCs w:val="32"/>
        </w:rPr>
        <w:t>How VisionWise Capital operates</w:t>
      </w:r>
    </w:p>
    <w:p w:rsidR="00066B8E" w:rsidRDefault="008D3EAA">
      <w:pPr>
        <w:spacing w:after="140"/>
      </w:pPr>
      <w:r>
        <w:t>We acquire under-managed multifamily property in coastal Southern California — five to seventy-five units, vintage 1940 to 2000 — and improve it to market standard. The playbook is three steps:</w:t>
      </w:r>
    </w:p>
    <w:p w:rsidR="00066B8E" w:rsidRDefault="008D3EAA">
      <w:pPr>
        <w:pStyle w:val="ListParagraph"/>
        <w:numPr>
          <w:ilvl w:val="0"/>
          <w:numId w:val="2"/>
        </w:numPr>
        <w:spacing w:after="60"/>
      </w:pPr>
      <w:r>
        <w:t>Acquire patiently. We track properties for months at our price, not the seller's. The completeness of our buyer package wins deals where the highest offer does not.</w:t>
      </w:r>
    </w:p>
    <w:p w:rsidR="00066B8E" w:rsidRDefault="008D3EAA">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066B8E" w:rsidRDefault="008D3EAA">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rsidR="00066B8E" w:rsidRDefault="008D3EAA">
      <w:pPr>
        <w:spacing w:after="140"/>
      </w:pPr>
      <w:r>
        <w:t>Across 24 deals over 12 years, the portfolio has produced 23.95% average levered project returns — including a -33% paper-loss deal we will discuss before any other deal.</w:t>
      </w:r>
    </w:p>
    <w:p w:rsidR="00066B8E" w:rsidRDefault="008D3EAA">
      <w:pPr>
        <w:pBdr>
          <w:bottom w:val="single" w:sz="12" w:space="4" w:color="A3D55D"/>
        </w:pBdr>
        <w:spacing w:before="240" w:after="160"/>
      </w:pPr>
      <w:r>
        <w:rPr>
          <w:rFonts w:ascii="Lato" w:eastAsia="Lato" w:hAnsi="Lato" w:cs="Lato"/>
          <w:b/>
          <w:bCs/>
          <w:sz w:val="32"/>
          <w:szCs w:val="32"/>
        </w:rPr>
        <w:lastRenderedPageBreak/>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066B8E">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066B8E" w:rsidRDefault="008D3EAA">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066B8E" w:rsidRDefault="008D3EAA">
            <w:r>
              <w:rPr>
                <w:rFonts w:ascii="Lato" w:eastAsia="Lato" w:hAnsi="Lato" w:cs="Lato"/>
                <w:b/>
                <w:bCs/>
                <w:color w:val="FFFFFF"/>
                <w:sz w:val="20"/>
                <w:szCs w:val="20"/>
              </w:rPr>
              <w:t>Value</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12</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24</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227</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$103.0M</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$53.3M</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$12.8M</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23.95%</w:t>
            </w:r>
          </w:p>
        </w:tc>
      </w:tr>
      <w:tr w:rsidR="00066B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1 paper-loss deal of 24, fully transparent</w:t>
            </w:r>
          </w:p>
        </w:tc>
      </w:tr>
    </w:tbl>
    <w:p w:rsidR="00066B8E" w:rsidRDefault="008D3EAA">
      <w:pPr>
        <w:pBdr>
          <w:bottom w:val="single" w:sz="12" w:space="4" w:color="A3D55D"/>
        </w:pBdr>
        <w:spacing w:before="240" w:after="160"/>
      </w:pPr>
      <w:r>
        <w:rPr>
          <w:rFonts w:ascii="Lato" w:eastAsia="Lato" w:hAnsi="Lato" w:cs="Lato"/>
          <w:b/>
          <w:bCs/>
          <w:sz w:val="32"/>
          <w:szCs w:val="32"/>
        </w:rPr>
        <w:t>Case study one</w:t>
      </w:r>
    </w:p>
    <w:p w:rsidR="00066B8E" w:rsidRDefault="008D3EAA">
      <w:pPr>
        <w:spacing w:before="180" w:after="80"/>
      </w:pPr>
      <w:r>
        <w:rPr>
          <w:rFonts w:ascii="Lato" w:eastAsia="Lato" w:hAnsi="Lato" w:cs="Lato"/>
          <w:b/>
          <w:bCs/>
          <w:color w:val="5C9627"/>
          <w:sz w:val="24"/>
          <w:szCs w:val="24"/>
        </w:rPr>
        <w:t>374 Cypress Drive — Laguna Beach (Cypress Garden Apartments)</w:t>
      </w:r>
    </w:p>
    <w:p w:rsidR="00066B8E" w:rsidRDefault="008D3EAA">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6B8E">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066B8E" w:rsidRDefault="008D3EAA">
            <w:pPr>
              <w:spacing w:after="80"/>
            </w:pPr>
            <w:r>
              <w:rPr>
                <w:rFonts w:ascii="Lato" w:eastAsia="Lato" w:hAnsi="Lato" w:cs="Lato"/>
                <w:b/>
                <w:bCs/>
                <w:sz w:val="18"/>
                <w:szCs w:val="18"/>
              </w:rPr>
              <w:t>Headline</w:t>
            </w:r>
          </w:p>
          <w:p w:rsidR="00066B8E" w:rsidRDefault="008D3EAA">
            <w:r>
              <w:rPr>
                <w:i/>
                <w:iCs/>
                <w:sz w:val="24"/>
                <w:szCs w:val="24"/>
              </w:rPr>
              <w:t>Estimated 72.30% levered project return</w:t>
            </w:r>
          </w:p>
        </w:tc>
      </w:tr>
    </w:tbl>
    <w:p w:rsidR="00066B8E" w:rsidRDefault="00066B8E">
      <w:pPr>
        <w:spacing w:after="80"/>
      </w:pPr>
    </w:p>
    <w:p w:rsidR="00066B8E" w:rsidRDefault="008D3EAA">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rsidR="00066B8E" w:rsidRDefault="008D3EAA">
      <w:pPr>
        <w:spacing w:before="180" w:after="80"/>
      </w:pPr>
      <w:r>
        <w:rPr>
          <w:rFonts w:ascii="Lato" w:eastAsia="Lato" w:hAnsi="Lato" w:cs="Lato"/>
          <w:b/>
          <w:bCs/>
          <w:color w:val="5C9627"/>
          <w:sz w:val="24"/>
          <w:szCs w:val="24"/>
        </w:rPr>
        <w:t>What this deal teaches</w:t>
      </w:r>
    </w:p>
    <w:p w:rsidR="00066B8E" w:rsidRDefault="008D3EAA">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rsidR="00066B8E" w:rsidRDefault="008D3EAA">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$4,050,000 ($405K/unit)</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$391,749</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$5,014,749</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$2,822,000 (56% LTV)</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lastRenderedPageBreak/>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$6,600,000 ($660K/unit)</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$1,585,251</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72.30%</w:t>
            </w:r>
          </w:p>
        </w:tc>
      </w:tr>
    </w:tbl>
    <w:p w:rsidR="00066B8E" w:rsidRDefault="00066B8E">
      <w:pPr>
        <w:spacing w:after="120"/>
      </w:pPr>
    </w:p>
    <w:p w:rsidR="00066B8E" w:rsidRDefault="008D3EAA">
      <w:pPr>
        <w:pBdr>
          <w:bottom w:val="single" w:sz="12" w:space="4" w:color="A3D55D"/>
        </w:pBdr>
        <w:spacing w:before="240" w:after="160"/>
      </w:pPr>
      <w:r>
        <w:rPr>
          <w:rFonts w:ascii="Lato" w:eastAsia="Lato" w:hAnsi="Lato" w:cs="Lato"/>
          <w:b/>
          <w:bCs/>
          <w:sz w:val="32"/>
          <w:szCs w:val="32"/>
        </w:rPr>
        <w:t>Case study two</w:t>
      </w:r>
    </w:p>
    <w:p w:rsidR="00066B8E" w:rsidRDefault="008D3EAA">
      <w:pPr>
        <w:spacing w:before="180" w:after="80"/>
      </w:pPr>
      <w:r>
        <w:rPr>
          <w:rFonts w:ascii="Lato" w:eastAsia="Lato" w:hAnsi="Lato" w:cs="Lato"/>
          <w:b/>
          <w:bCs/>
          <w:color w:val="5C9627"/>
          <w:sz w:val="24"/>
          <w:szCs w:val="24"/>
        </w:rPr>
        <w:t>4921 Charlene Circle — Huntington Beach</w:t>
      </w:r>
    </w:p>
    <w:p w:rsidR="00066B8E" w:rsidRDefault="008D3EAA">
      <w:pPr>
        <w:spacing w:after="140"/>
      </w:pPr>
      <w:r>
        <w:rPr>
          <w:i/>
          <w:iCs/>
          <w:color w:val="8A8F94"/>
          <w:sz w:val="20"/>
          <w:szCs w:val="20"/>
        </w:rPr>
        <w:t>Sold · 6 units · Acquired December 2020 · Sold December 2022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66B8E">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066B8E" w:rsidRDefault="008D3EAA">
            <w:pPr>
              <w:spacing w:after="80"/>
            </w:pPr>
            <w:r>
              <w:rPr>
                <w:rFonts w:ascii="Lato" w:eastAsia="Lato" w:hAnsi="Lato" w:cs="Lato"/>
                <w:b/>
                <w:bCs/>
                <w:sz w:val="18"/>
                <w:szCs w:val="18"/>
              </w:rPr>
              <w:t>Headline</w:t>
            </w:r>
          </w:p>
          <w:p w:rsidR="00066B8E" w:rsidRDefault="008D3EAA">
            <w:r>
              <w:rPr>
                <w:i/>
                <w:iCs/>
                <w:sz w:val="24"/>
                <w:szCs w:val="24"/>
              </w:rPr>
              <w:t>51.09% levered project return — 24-month cycle</w:t>
            </w:r>
          </w:p>
        </w:tc>
      </w:tr>
    </w:tbl>
    <w:p w:rsidR="00066B8E" w:rsidRDefault="00066B8E">
      <w:pPr>
        <w:spacing w:after="80"/>
      </w:pPr>
    </w:p>
    <w:p w:rsidR="00066B8E" w:rsidRDefault="008D3EAA">
      <w:pPr>
        <w:spacing w:after="140"/>
      </w:pPr>
      <w:r>
        <w:t>The sister building to VWC's 4931 Charlene Circle property — literally next door, same building footprint, shared driveway. VWC walked into this deal with a verbatim playbook: same neighborhood, same product, same renovation scope, same property manager. From acquisition to sale, exactly 24 months. Improvements were complete by June 2021 in time for the summer leasing season.</w:t>
      </w:r>
    </w:p>
    <w:p w:rsidR="00066B8E" w:rsidRDefault="008D3EAA">
      <w:pPr>
        <w:spacing w:before="180" w:after="80"/>
      </w:pPr>
      <w:r>
        <w:rPr>
          <w:rFonts w:ascii="Lato" w:eastAsia="Lato" w:hAnsi="Lato" w:cs="Lato"/>
          <w:b/>
          <w:bCs/>
          <w:color w:val="5C9627"/>
          <w:sz w:val="24"/>
          <w:szCs w:val="24"/>
        </w:rPr>
        <w:t>What this deal teaches</w:t>
      </w:r>
    </w:p>
    <w:p w:rsidR="00066B8E" w:rsidRDefault="008D3EAA">
      <w:pPr>
        <w:spacing w:after="140"/>
      </w:pPr>
      <w:r>
        <w:t>When you operate enough Southern California coastal multifamily, sister-property acquisitions become low-risk repeats of work you've already proven. Investors paid for an information advantage, not a market guess.</w:t>
      </w:r>
    </w:p>
    <w:p w:rsidR="00066B8E" w:rsidRDefault="008D3EAA">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$2,090,000 ($348K/unit)</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$173,950</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$2,513,350</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$1,365,000 (54% LTV)</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Sale price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$3,100,000 ($517K/unit)</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Realized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$586,650</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51.09%</w:t>
            </w:r>
          </w:p>
        </w:tc>
      </w:tr>
    </w:tbl>
    <w:p w:rsidR="00066B8E" w:rsidRDefault="00066B8E">
      <w:pPr>
        <w:spacing w:after="120"/>
      </w:pPr>
    </w:p>
    <w:p w:rsidR="00066B8E" w:rsidRDefault="008D3EAA">
      <w:pPr>
        <w:pBdr>
          <w:bottom w:val="single" w:sz="12" w:space="4" w:color="A3D55D"/>
        </w:pBdr>
        <w:spacing w:before="240" w:after="160"/>
      </w:pPr>
      <w:r>
        <w:rPr>
          <w:rFonts w:ascii="Lato" w:eastAsia="Lato" w:hAnsi="Lato" w:cs="Lato"/>
          <w:b/>
          <w:bCs/>
          <w:sz w:val="32"/>
          <w:szCs w:val="32"/>
        </w:rPr>
        <w:t>What a Direct-deal investment from your SDIRA looks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Minimum</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$100,000 (accredited only)</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lastRenderedPageBreak/>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24–30 months</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Distributions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Returned to your IRA account, tax-deferred</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Custodian compatibility</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All major SDIRA custodians supported</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UBIT/UDFI</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Calculation provided up front for the leveraged portion</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sz w:val="20"/>
                <w:szCs w:val="20"/>
              </w:rPr>
              <w:t>Coastal Orange County and San Diego County</w:t>
            </w:r>
          </w:p>
        </w:tc>
      </w:tr>
      <w:tr w:rsidR="00066B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066B8E" w:rsidRDefault="008D3EAA">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066B8E" w:rsidRDefault="008D3EAA">
            <w:r>
              <w:rPr>
                <w:sz w:val="20"/>
                <w:szCs w:val="20"/>
              </w:rPr>
              <w:t>AppFolio Investor portal + quarterly written update</w:t>
            </w:r>
          </w:p>
        </w:tc>
      </w:tr>
    </w:tbl>
    <w:p w:rsidR="00066B8E" w:rsidRDefault="00066B8E">
      <w:pPr>
        <w:spacing w:after="120"/>
      </w:pPr>
    </w:p>
    <w:p w:rsidR="00066B8E" w:rsidRDefault="008D3EAA">
      <w:pPr>
        <w:pBdr>
          <w:bottom w:val="single" w:sz="12" w:space="4" w:color="A3D55D"/>
        </w:pBdr>
        <w:spacing w:before="240" w:after="160"/>
      </w:pPr>
      <w:r>
        <w:rPr>
          <w:rFonts w:ascii="Lato" w:eastAsia="Lato" w:hAnsi="Lato" w:cs="Lato"/>
          <w:b/>
          <w:bCs/>
          <w:sz w:val="32"/>
          <w:szCs w:val="32"/>
        </w:rPr>
        <w:t>Our values, briefly</w:t>
      </w:r>
    </w:p>
    <w:p w:rsidR="00066B8E" w:rsidRDefault="008D3EAA">
      <w:pPr>
        <w:spacing w:after="140"/>
      </w:pPr>
      <w:r>
        <w:t>VisionWise Capital is governed by two pairs of values. The first pair — Entrepreneurial, Strategic Thinker, Resolute — describes how we work. The second pair — Faith and Clear Conscience — describes the standard we hold ourselves to.</w:t>
      </w:r>
    </w:p>
    <w:p w:rsidR="00066B8E" w:rsidRDefault="008D3EAA">
      <w:pPr>
        <w:pBdr>
          <w:left w:val="single" w:sz="18" w:space="12" w:color="A3D55D"/>
        </w:pBdr>
        <w:spacing w:before="120" w:after="120"/>
        <w:ind w:left="360"/>
      </w:pPr>
      <w:r>
        <w:rPr>
          <w:i/>
          <w:iCs/>
          <w:color w:val="666B70"/>
        </w:rPr>
        <w:t>Committed to investors over projects.</w:t>
      </w:r>
    </w:p>
    <w:p w:rsidR="00066B8E" w:rsidRDefault="008D3EAA">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066B8E" w:rsidRDefault="008D3EAA">
      <w:pPr>
        <w:pBdr>
          <w:bottom w:val="single" w:sz="12" w:space="4" w:color="A3D55D"/>
        </w:pBdr>
        <w:spacing w:before="240" w:after="160"/>
      </w:pPr>
      <w:r>
        <w:rPr>
          <w:rFonts w:ascii="Lato" w:eastAsia="Lato" w:hAnsi="Lato" w:cs="Lato"/>
          <w:b/>
          <w:bCs/>
          <w:sz w:val="32"/>
          <w:szCs w:val="32"/>
        </w:rPr>
        <w:t>Next step</w:t>
      </w:r>
    </w:p>
    <w:p w:rsidR="00066B8E" w:rsidRDefault="008D3EAA">
      <w:pPr>
        <w:spacing w:after="140"/>
      </w:pPr>
      <w:r>
        <w:t>Please reply with the name of your custodian or call (949) 441-5580. We can have your subscription packet to you within one business day, calibrated for your custodian's process.</w:t>
      </w:r>
    </w:p>
    <w:p w:rsidR="00066B8E" w:rsidRDefault="00066B8E">
      <w:pPr>
        <w:spacing w:after="120"/>
      </w:pPr>
    </w:p>
    <w:p w:rsidR="00066B8E" w:rsidRDefault="008D3EAA">
      <w:pPr>
        <w:spacing w:after="140"/>
      </w:pPr>
      <w:r>
        <w:rPr>
          <w:i/>
          <w:iCs/>
          <w:color w:val="666B70"/>
        </w:rPr>
        <w:t>Self-directed IRA capital deserves a sponsor that treats the paperwork as part of the deal, not as an afterthought. We have done this enough times to make it routine.</w:t>
      </w:r>
    </w:p>
    <w:p w:rsidR="00066B8E" w:rsidRDefault="00066B8E">
      <w:pPr>
        <w:spacing w:after="120"/>
      </w:pPr>
    </w:p>
    <w:p w:rsidR="00066B8E" w:rsidRDefault="00066B8E">
      <w:pPr>
        <w:spacing w:after="120"/>
      </w:pPr>
    </w:p>
    <w:p w:rsidR="00066B8E" w:rsidRDefault="008D3EAA">
      <w:pPr>
        <w:spacing w:after="140"/>
      </w:pPr>
      <w:r>
        <w:rPr>
          <w:i/>
          <w:iCs/>
        </w:rPr>
        <w:t>With respect,</w:t>
      </w:r>
    </w:p>
    <w:p w:rsidR="00066B8E" w:rsidRDefault="00066B8E">
      <w:pPr>
        <w:spacing w:after="80"/>
      </w:pPr>
    </w:p>
    <w:p w:rsidR="00066B8E" w:rsidRDefault="008D3EAA">
      <w:pPr>
        <w:spacing w:after="140"/>
      </w:pPr>
      <w:r>
        <w:rPr>
          <w:rFonts w:ascii="Lato" w:eastAsia="Lato" w:hAnsi="Lato" w:cs="Lato"/>
          <w:b/>
          <w:bCs/>
          <w:sz w:val="26"/>
          <w:szCs w:val="26"/>
        </w:rPr>
        <w:t>Sanford D. Coggins</w:t>
      </w:r>
    </w:p>
    <w:p w:rsidR="00066B8E" w:rsidRDefault="008D3EAA">
      <w:pPr>
        <w:spacing w:after="140"/>
      </w:pPr>
      <w:r>
        <w:rPr>
          <w:i/>
          <w:iCs/>
          <w:color w:val="8A8F94"/>
          <w:sz w:val="20"/>
          <w:szCs w:val="20"/>
        </w:rPr>
        <w:t>CEO &amp; Founder, VisionWise Capital LLC</w:t>
      </w:r>
    </w:p>
    <w:p w:rsidR="00066B8E" w:rsidRDefault="008D3EAA">
      <w:pPr>
        <w:pageBreakBefore/>
        <w:spacing w:before="280" w:after="200"/>
      </w:pPr>
      <w:r>
        <w:rPr>
          <w:rFonts w:ascii="Lato" w:eastAsia="Lato" w:hAnsi="Lato" w:cs="Lato"/>
          <w:b/>
          <w:bCs/>
          <w:sz w:val="48"/>
          <w:szCs w:val="48"/>
        </w:rPr>
        <w:lastRenderedPageBreak/>
        <w:t>Important disclosures</w:t>
      </w:r>
    </w:p>
    <w:p w:rsidR="00066B8E" w:rsidRDefault="008D3EAA">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066B8E" w:rsidRDefault="00066B8E">
      <w:pPr>
        <w:spacing w:after="120"/>
      </w:pPr>
    </w:p>
    <w:p w:rsidR="00066B8E" w:rsidRDefault="008D3EAA">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066B8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3EAA" w:rsidRDefault="008D3EAA">
      <w:r>
        <w:separator/>
      </w:r>
    </w:p>
  </w:endnote>
  <w:endnote w:type="continuationSeparator" w:id="0">
    <w:p w:rsidR="008D3EAA" w:rsidRDefault="008D3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6B8E" w:rsidRDefault="008D3EAA">
    <w:pPr>
      <w:pBdr>
        <w:top w:val="single" w:sz="6" w:space="4" w:color="A3D55D"/>
      </w:pBdr>
      <w:spacing w:after="60"/>
      <w:jc w:val="center"/>
    </w:pPr>
    <w:r>
      <w:rPr>
        <w:color w:val="8A8F94"/>
        <w:sz w:val="16"/>
        <w:szCs w:val="16"/>
      </w:rPr>
      <w:t>VisionWise Capital LLC  ·  visionwisecapital.com  ·  (949) 441-5580</w:t>
    </w:r>
  </w:p>
  <w:p w:rsidR="00066B8E" w:rsidRDefault="008D3EAA">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9E4921">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9E4921">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3EAA" w:rsidRDefault="008D3EAA">
      <w:r>
        <w:separator/>
      </w:r>
    </w:p>
  </w:footnote>
  <w:footnote w:type="continuationSeparator" w:id="0">
    <w:p w:rsidR="008D3EAA" w:rsidRDefault="008D3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6B8E" w:rsidRDefault="008D3EAA">
    <w:pPr>
      <w:jc w:val="right"/>
    </w:pPr>
    <w:r>
      <w:rPr>
        <w:i/>
        <w:iCs/>
        <w:color w:val="8A8F94"/>
        <w:sz w:val="16"/>
        <w:szCs w:val="16"/>
      </w:rPr>
      <w:t>VisionWise Capital  ·  Company Overview  ·  For Accredited Investors With Self-Directed IRA Capital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3DDC"/>
    <w:multiLevelType w:val="hybridMultilevel"/>
    <w:tmpl w:val="AB9AE174"/>
    <w:lvl w:ilvl="0" w:tplc="C82CC1D8">
      <w:start w:val="1"/>
      <w:numFmt w:val="decimal"/>
      <w:lvlText w:val="%1."/>
      <w:lvlJc w:val="left"/>
      <w:pPr>
        <w:ind w:left="540" w:hanging="270"/>
      </w:pPr>
      <w:rPr>
        <w:rFonts w:ascii="Open Sans" w:eastAsia="Open Sans" w:hAnsi="Open Sans" w:cs="Open Sans"/>
        <w:b/>
        <w:bCs/>
        <w:color w:val="5C9627"/>
      </w:rPr>
    </w:lvl>
    <w:lvl w:ilvl="1" w:tplc="1E481B40">
      <w:numFmt w:val="decimal"/>
      <w:lvlText w:val=""/>
      <w:lvlJc w:val="left"/>
    </w:lvl>
    <w:lvl w:ilvl="2" w:tplc="B4F807EC">
      <w:numFmt w:val="decimal"/>
      <w:lvlText w:val=""/>
      <w:lvlJc w:val="left"/>
    </w:lvl>
    <w:lvl w:ilvl="3" w:tplc="39EC63B2">
      <w:numFmt w:val="decimal"/>
      <w:lvlText w:val=""/>
      <w:lvlJc w:val="left"/>
    </w:lvl>
    <w:lvl w:ilvl="4" w:tplc="08668162">
      <w:numFmt w:val="decimal"/>
      <w:lvlText w:val=""/>
      <w:lvlJc w:val="left"/>
    </w:lvl>
    <w:lvl w:ilvl="5" w:tplc="0A302382">
      <w:numFmt w:val="decimal"/>
      <w:lvlText w:val=""/>
      <w:lvlJc w:val="left"/>
    </w:lvl>
    <w:lvl w:ilvl="6" w:tplc="7F12634E">
      <w:numFmt w:val="decimal"/>
      <w:lvlText w:val=""/>
      <w:lvlJc w:val="left"/>
    </w:lvl>
    <w:lvl w:ilvl="7" w:tplc="35288882">
      <w:numFmt w:val="decimal"/>
      <w:lvlText w:val=""/>
      <w:lvlJc w:val="left"/>
    </w:lvl>
    <w:lvl w:ilvl="8" w:tplc="7FF43A42">
      <w:numFmt w:val="decimal"/>
      <w:lvlText w:val=""/>
      <w:lvlJc w:val="left"/>
    </w:lvl>
  </w:abstractNum>
  <w:abstractNum w:abstractNumId="1" w15:restartNumberingAfterBreak="0">
    <w:nsid w:val="29A42CEE"/>
    <w:multiLevelType w:val="hybridMultilevel"/>
    <w:tmpl w:val="AFEEECD6"/>
    <w:lvl w:ilvl="0" w:tplc="8938AB2C">
      <w:start w:val="1"/>
      <w:numFmt w:val="bullet"/>
      <w:lvlText w:val="●"/>
      <w:lvlJc w:val="left"/>
      <w:pPr>
        <w:ind w:left="720" w:hanging="360"/>
      </w:pPr>
    </w:lvl>
    <w:lvl w:ilvl="1" w:tplc="541AD6FE">
      <w:start w:val="1"/>
      <w:numFmt w:val="bullet"/>
      <w:lvlText w:val="○"/>
      <w:lvlJc w:val="left"/>
      <w:pPr>
        <w:ind w:left="1440" w:hanging="360"/>
      </w:pPr>
    </w:lvl>
    <w:lvl w:ilvl="2" w:tplc="78B2BC88">
      <w:start w:val="1"/>
      <w:numFmt w:val="bullet"/>
      <w:lvlText w:val="■"/>
      <w:lvlJc w:val="left"/>
      <w:pPr>
        <w:ind w:left="2160" w:hanging="360"/>
      </w:pPr>
    </w:lvl>
    <w:lvl w:ilvl="3" w:tplc="632ADD0C">
      <w:start w:val="1"/>
      <w:numFmt w:val="bullet"/>
      <w:lvlText w:val="●"/>
      <w:lvlJc w:val="left"/>
      <w:pPr>
        <w:ind w:left="2880" w:hanging="360"/>
      </w:pPr>
    </w:lvl>
    <w:lvl w:ilvl="4" w:tplc="A83A6DA0">
      <w:start w:val="1"/>
      <w:numFmt w:val="bullet"/>
      <w:lvlText w:val="○"/>
      <w:lvlJc w:val="left"/>
      <w:pPr>
        <w:ind w:left="3600" w:hanging="360"/>
      </w:pPr>
    </w:lvl>
    <w:lvl w:ilvl="5" w:tplc="FCFC1E2E">
      <w:start w:val="1"/>
      <w:numFmt w:val="bullet"/>
      <w:lvlText w:val="■"/>
      <w:lvlJc w:val="left"/>
      <w:pPr>
        <w:ind w:left="4320" w:hanging="360"/>
      </w:pPr>
    </w:lvl>
    <w:lvl w:ilvl="6" w:tplc="2DE4E18C">
      <w:start w:val="1"/>
      <w:numFmt w:val="bullet"/>
      <w:lvlText w:val="●"/>
      <w:lvlJc w:val="left"/>
      <w:pPr>
        <w:ind w:left="5040" w:hanging="360"/>
      </w:pPr>
    </w:lvl>
    <w:lvl w:ilvl="7" w:tplc="5F64FB88">
      <w:start w:val="1"/>
      <w:numFmt w:val="bullet"/>
      <w:lvlText w:val="●"/>
      <w:lvlJc w:val="left"/>
      <w:pPr>
        <w:ind w:left="5760" w:hanging="360"/>
      </w:pPr>
    </w:lvl>
    <w:lvl w:ilvl="8" w:tplc="515E102E">
      <w:start w:val="1"/>
      <w:numFmt w:val="bullet"/>
      <w:lvlText w:val="●"/>
      <w:lvlJc w:val="left"/>
      <w:pPr>
        <w:ind w:left="6480" w:hanging="360"/>
      </w:pPr>
    </w:lvl>
  </w:abstractNum>
  <w:abstractNum w:abstractNumId="2" w15:restartNumberingAfterBreak="0">
    <w:nsid w:val="72586F83"/>
    <w:multiLevelType w:val="hybridMultilevel"/>
    <w:tmpl w:val="9DB0D5F0"/>
    <w:lvl w:ilvl="0" w:tplc="F0024068">
      <w:start w:val="1"/>
      <w:numFmt w:val="bullet"/>
      <w:lvlText w:val="•"/>
      <w:lvlJc w:val="left"/>
      <w:pPr>
        <w:ind w:left="540" w:hanging="270"/>
      </w:pPr>
      <w:rPr>
        <w:rFonts w:ascii="Open Sans" w:eastAsia="Open Sans" w:hAnsi="Open Sans" w:cs="Open Sans"/>
        <w:color w:val="5C9627"/>
      </w:rPr>
    </w:lvl>
    <w:lvl w:ilvl="1" w:tplc="23365932">
      <w:numFmt w:val="decimal"/>
      <w:lvlText w:val=""/>
      <w:lvlJc w:val="left"/>
    </w:lvl>
    <w:lvl w:ilvl="2" w:tplc="4D948446">
      <w:numFmt w:val="decimal"/>
      <w:lvlText w:val=""/>
      <w:lvlJc w:val="left"/>
    </w:lvl>
    <w:lvl w:ilvl="3" w:tplc="10E219B6">
      <w:numFmt w:val="decimal"/>
      <w:lvlText w:val=""/>
      <w:lvlJc w:val="left"/>
    </w:lvl>
    <w:lvl w:ilvl="4" w:tplc="D35E38E6">
      <w:numFmt w:val="decimal"/>
      <w:lvlText w:val=""/>
      <w:lvlJc w:val="left"/>
    </w:lvl>
    <w:lvl w:ilvl="5" w:tplc="1C30CBBE">
      <w:numFmt w:val="decimal"/>
      <w:lvlText w:val=""/>
      <w:lvlJc w:val="left"/>
    </w:lvl>
    <w:lvl w:ilvl="6" w:tplc="E72C3BD8">
      <w:numFmt w:val="decimal"/>
      <w:lvlText w:val=""/>
      <w:lvlJc w:val="left"/>
    </w:lvl>
    <w:lvl w:ilvl="7" w:tplc="44C6BF42">
      <w:numFmt w:val="decimal"/>
      <w:lvlText w:val=""/>
      <w:lvlJc w:val="left"/>
    </w:lvl>
    <w:lvl w:ilvl="8" w:tplc="CBFAAFDC">
      <w:numFmt w:val="decimal"/>
      <w:lvlText w:val=""/>
      <w:lvlJc w:val="left"/>
    </w:lvl>
  </w:abstractNum>
  <w:num w:numId="1" w16cid:durableId="149638026">
    <w:abstractNumId w:val="1"/>
    <w:lvlOverride w:ilvl="0">
      <w:startOverride w:val="1"/>
    </w:lvlOverride>
  </w:num>
  <w:num w:numId="2" w16cid:durableId="1307474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B8E"/>
    <w:rsid w:val="00066B8E"/>
    <w:rsid w:val="00641079"/>
    <w:rsid w:val="008D3EAA"/>
    <w:rsid w:val="009E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1033</Words>
  <Characters>5851</Characters>
  <Application>Microsoft Office Word</Application>
  <DocSecurity>0</DocSecurity>
  <Lines>167</Lines>
  <Paragraphs>134</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Self-Directed IRA Investor</dc:title>
  <dc:creator>VisionWise Capital</dc:creator>
  <dc:description>Persona-tailored company overview for For Accredited Investors With Self-Directed IRA Capital</dc:description>
  <cp:lastModifiedBy>Ravi Jain</cp:lastModifiedBy>
  <cp:revision>2</cp:revision>
  <cp:lastPrinted>2026-04-25T21:24:00Z</cp:lastPrinted>
  <dcterms:created xsi:type="dcterms:W3CDTF">2026-04-25T21:24:00Z</dcterms:created>
  <dcterms:modified xsi:type="dcterms:W3CDTF">2026-04-25T21:24:00Z</dcterms:modified>
</cp:coreProperties>
</file>