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622D" w:rsidRDefault="0039749E">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79622D" w:rsidRDefault="0039749E">
      <w:pPr>
        <w:spacing w:after="800"/>
        <w:jc w:val="center"/>
      </w:pPr>
      <w:r>
        <w:rPr>
          <w:i/>
          <w:iCs/>
          <w:color w:val="8A8F94"/>
          <w:sz w:val="24"/>
          <w:szCs w:val="24"/>
        </w:rPr>
        <w:t>Multifamily Real Estate Investments</w:t>
      </w:r>
    </w:p>
    <w:p w:rsidR="0079622D" w:rsidRDefault="0079622D">
      <w:pPr>
        <w:pBdr>
          <w:bottom w:val="single" w:sz="18" w:space="1" w:color="A3D55D"/>
        </w:pBdr>
        <w:spacing w:before="200" w:after="800"/>
        <w:jc w:val="center"/>
      </w:pPr>
    </w:p>
    <w:p w:rsidR="0079622D" w:rsidRDefault="0039749E">
      <w:pPr>
        <w:spacing w:after="240"/>
        <w:jc w:val="center"/>
      </w:pPr>
      <w:r>
        <w:rPr>
          <w:rFonts w:ascii="Lato" w:eastAsia="Lato" w:hAnsi="Lato" w:cs="Lato"/>
          <w:b/>
          <w:bCs/>
          <w:sz w:val="56"/>
          <w:szCs w:val="56"/>
        </w:rPr>
        <w:t>A company overview</w:t>
      </w:r>
    </w:p>
    <w:p w:rsidR="0079622D" w:rsidRDefault="0039749E">
      <w:pPr>
        <w:spacing w:after="1200"/>
        <w:jc w:val="center"/>
      </w:pPr>
      <w:r>
        <w:rPr>
          <w:color w:val="666B70"/>
          <w:sz w:val="26"/>
          <w:szCs w:val="26"/>
        </w:rPr>
        <w:t>For Registered Investment Advisors Considering Real Estate Alternatives</w:t>
      </w:r>
    </w:p>
    <w:p w:rsidR="0079622D" w:rsidRDefault="0039749E">
      <w:pPr>
        <w:spacing w:before="800" w:after="60"/>
        <w:jc w:val="center"/>
      </w:pPr>
      <w:r>
        <w:t>VisionWise Capital LLC  ·  Mission Viejo, California</w:t>
      </w:r>
    </w:p>
    <w:p w:rsidR="0079622D" w:rsidRDefault="0039749E">
      <w:pPr>
        <w:spacing w:after="60"/>
        <w:jc w:val="center"/>
      </w:pPr>
      <w:r>
        <w:rPr>
          <w:color w:val="8A8F94"/>
          <w:sz w:val="20"/>
          <w:szCs w:val="20"/>
        </w:rPr>
        <w:t>(949) 441-5580  ·  info@visionwisecapital.com  ·  visionwisecapital.com</w:t>
      </w:r>
    </w:p>
    <w:p w:rsidR="0079622D" w:rsidRDefault="0039749E">
      <w:pPr>
        <w:pageBreakBefore/>
        <w:spacing w:before="280" w:after="200"/>
      </w:pPr>
      <w:r>
        <w:rPr>
          <w:rFonts w:ascii="Lato" w:eastAsia="Lato" w:hAnsi="Lato" w:cs="Lato"/>
          <w:b/>
          <w:bCs/>
          <w:sz w:val="48"/>
          <w:szCs w:val="48"/>
        </w:rPr>
        <w:lastRenderedPageBreak/>
        <w:t>For the Registered Investment Advisor and Investment Committee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9622D">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9622D" w:rsidRDefault="0039749E">
            <w:pPr>
              <w:spacing w:after="80"/>
            </w:pPr>
            <w:r>
              <w:rPr>
                <w:rFonts w:ascii="Lato" w:eastAsia="Lato" w:hAnsi="Lato" w:cs="Lato"/>
                <w:b/>
                <w:bCs/>
                <w:sz w:val="18"/>
                <w:szCs w:val="18"/>
              </w:rPr>
              <w:t>Why we are writing</w:t>
            </w:r>
          </w:p>
          <w:p w:rsidR="0079622D" w:rsidRDefault="0039749E">
            <w:r>
              <w:rPr>
                <w:i/>
                <w:iCs/>
                <w:sz w:val="24"/>
                <w:szCs w:val="24"/>
              </w:rPr>
              <w:t>Sanford Coggins spent 16 years as a Vice President of Wealth Management at Merrill Lynch. He knows what a clean placement looks like from your side of the desk. That is how VisionWise Capital is structured.</w:t>
            </w:r>
          </w:p>
        </w:tc>
      </w:tr>
    </w:tbl>
    <w:p w:rsidR="0079622D" w:rsidRDefault="0079622D">
      <w:pPr>
        <w:spacing w:after="120"/>
      </w:pPr>
    </w:p>
    <w:p w:rsidR="0079622D" w:rsidRDefault="0039749E">
      <w:pPr>
        <w:spacing w:after="140"/>
      </w:pPr>
      <w:r>
        <w:t>VisionWise Capital is the rare real estate sponsor founded by a former Registered Investment Advisor. Our compensation is fully disclosed (GP carry plus management fee, no retros to advisors). Our reporting is institutional-grade through AppFolio Investor. Our track record is 12 years, 24 deals, and 23.95% average levered project return — including a -33% paper loss we disclose in every conversation.</w:t>
      </w:r>
    </w:p>
    <w:p w:rsidR="0079622D" w:rsidRDefault="0079622D">
      <w:pPr>
        <w:spacing w:after="80"/>
      </w:pPr>
    </w:p>
    <w:p w:rsidR="0079622D" w:rsidRDefault="0039749E">
      <w:pPr>
        <w:spacing w:after="140"/>
      </w:pPr>
      <w:r>
        <w:t>We are looking to brief two or three RIA investment committees in the next 90 days. Our preferred entry point is an educational session, not a pitch. If your IC is exploring multifamily real estate as an alternative-asset allocation for accredited clients, we would like to be on the agenda.</w:t>
      </w:r>
    </w:p>
    <w:p w:rsidR="0079622D" w:rsidRDefault="0039749E">
      <w:pPr>
        <w:pBdr>
          <w:bottom w:val="single" w:sz="12" w:space="4" w:color="A3D55D"/>
        </w:pBdr>
        <w:spacing w:before="240" w:after="160"/>
      </w:pPr>
      <w:r>
        <w:rPr>
          <w:rFonts w:ascii="Lato" w:eastAsia="Lato" w:hAnsi="Lato" w:cs="Lato"/>
          <w:b/>
          <w:bCs/>
          <w:sz w:val="32"/>
          <w:szCs w:val="32"/>
        </w:rPr>
        <w:t>Why VisionWise Capital matters to you</w:t>
      </w:r>
    </w:p>
    <w:p w:rsidR="0079622D" w:rsidRDefault="0039749E">
      <w:pPr>
        <w:pStyle w:val="ListParagraph"/>
        <w:numPr>
          <w:ilvl w:val="0"/>
          <w:numId w:val="2"/>
        </w:numPr>
        <w:spacing w:after="60"/>
      </w:pPr>
      <w:r>
        <w:t>RIA-friendly compensation. GP carry plus management fee, fully disclosed. No retros, no hidden advisor compensation that creates compliance noise.</w:t>
      </w:r>
    </w:p>
    <w:p w:rsidR="0079622D" w:rsidRDefault="0039749E">
      <w:pPr>
        <w:pStyle w:val="ListParagraph"/>
        <w:numPr>
          <w:ilvl w:val="0"/>
          <w:numId w:val="2"/>
        </w:numPr>
        <w:spacing w:after="60"/>
      </w:pPr>
      <w:r>
        <w:t>Reporting your clients can read. AppFolio Investor portal generates client-friendly statements aligned with your quarterly review cycle.</w:t>
      </w:r>
    </w:p>
    <w:p w:rsidR="0079622D" w:rsidRDefault="0039749E">
      <w:pPr>
        <w:pStyle w:val="ListParagraph"/>
        <w:numPr>
          <w:ilvl w:val="0"/>
          <w:numId w:val="2"/>
        </w:numPr>
        <w:spacing w:after="60"/>
      </w:pPr>
      <w:r>
        <w:t>Operator quality. We discuss our worst deal (-33% paper loss on 630 W Washington, San Diego) on the first call. Your IC will see how we underwrite, not just how we sell.</w:t>
      </w:r>
    </w:p>
    <w:p w:rsidR="0079622D" w:rsidRDefault="0039749E">
      <w:pPr>
        <w:pStyle w:val="ListParagraph"/>
        <w:numPr>
          <w:ilvl w:val="0"/>
          <w:numId w:val="2"/>
        </w:numPr>
        <w:spacing w:after="60"/>
      </w:pPr>
      <w:r>
        <w:t>Founded by an RIA. Sanford Coggins is one of few professionals who has transitioned from RIA to RE sponsor. He speaks your language.</w:t>
      </w:r>
    </w:p>
    <w:p w:rsidR="0079622D" w:rsidRDefault="0039749E">
      <w:pPr>
        <w:pBdr>
          <w:bottom w:val="single" w:sz="12" w:space="4" w:color="A3D55D"/>
        </w:pBdr>
        <w:spacing w:before="240" w:after="160"/>
      </w:pPr>
      <w:r>
        <w:rPr>
          <w:rFonts w:ascii="Lato" w:eastAsia="Lato" w:hAnsi="Lato" w:cs="Lato"/>
          <w:b/>
          <w:bCs/>
          <w:sz w:val="32"/>
          <w:szCs w:val="32"/>
        </w:rPr>
        <w:t>How VisionWise Capital operates</w:t>
      </w:r>
    </w:p>
    <w:p w:rsidR="0079622D" w:rsidRDefault="0039749E">
      <w:pPr>
        <w:spacing w:after="140"/>
      </w:pPr>
      <w:r>
        <w:t>We acquire under-managed multifamily property in coastal Southern California — five to seventy-five units, vintage 1940 to 2000 — and improve it to market standard. The playbook is three steps:</w:t>
      </w:r>
    </w:p>
    <w:p w:rsidR="0079622D" w:rsidRDefault="0039749E">
      <w:pPr>
        <w:pStyle w:val="ListParagraph"/>
        <w:numPr>
          <w:ilvl w:val="0"/>
          <w:numId w:val="2"/>
        </w:numPr>
        <w:spacing w:after="60"/>
      </w:pPr>
      <w:r>
        <w:t>Acquire patiently. We track properties for months at our price, not the seller's. The completeness of our buyer package wins deals where the highest offer does not.</w:t>
      </w:r>
    </w:p>
    <w:p w:rsidR="0079622D" w:rsidRDefault="0039749E">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79622D" w:rsidRDefault="0039749E">
      <w:pPr>
        <w:pStyle w:val="ListParagraph"/>
        <w:numPr>
          <w:ilvl w:val="0"/>
          <w:numId w:val="2"/>
        </w:numPr>
        <w:spacing w:after="60"/>
      </w:pPr>
      <w:r>
        <w:lastRenderedPageBreak/>
        <w:t>Move rents to market. Eighteen to twenty-four months later, the property is at market rents and operating at stabilized cap rates. We hold for income or sell for capital appreciation.</w:t>
      </w:r>
    </w:p>
    <w:p w:rsidR="0079622D" w:rsidRDefault="0039749E">
      <w:pPr>
        <w:spacing w:after="140"/>
      </w:pPr>
      <w:r>
        <w:t>Across 24 deals over 12 years, the portfolio has produced 23.95% average levered project returns — including a -33% paper-loss deal we will discuss before any other deal.</w:t>
      </w:r>
    </w:p>
    <w:p w:rsidR="0079622D" w:rsidRDefault="0039749E">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6580"/>
      </w:tblGrid>
      <w:tr w:rsidR="0079622D">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79622D" w:rsidRDefault="0039749E">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79622D" w:rsidRDefault="0039749E">
            <w:r>
              <w:rPr>
                <w:rFonts w:ascii="Lato" w:eastAsia="Lato" w:hAnsi="Lato" w:cs="Lato"/>
                <w:b/>
                <w:bCs/>
                <w:color w:val="FFFFFF"/>
                <w:sz w:val="20"/>
                <w:szCs w:val="20"/>
              </w:rPr>
              <w:t>Value</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12</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24</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227</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$103.0M</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$53.3M</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$12.8M</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23.95%</w:t>
            </w:r>
          </w:p>
        </w:tc>
      </w:tr>
      <w:tr w:rsidR="0079622D">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1 paper-loss deal of 24, fully transparent</w:t>
            </w:r>
          </w:p>
        </w:tc>
      </w:tr>
    </w:tbl>
    <w:p w:rsidR="0079622D" w:rsidRDefault="0039749E">
      <w:pPr>
        <w:pBdr>
          <w:bottom w:val="single" w:sz="12" w:space="4" w:color="A3D55D"/>
        </w:pBdr>
        <w:spacing w:before="240" w:after="160"/>
      </w:pPr>
      <w:r>
        <w:rPr>
          <w:rFonts w:ascii="Lato" w:eastAsia="Lato" w:hAnsi="Lato" w:cs="Lato"/>
          <w:b/>
          <w:bCs/>
          <w:sz w:val="32"/>
          <w:szCs w:val="32"/>
        </w:rPr>
        <w:t>Case study one</w:t>
      </w:r>
    </w:p>
    <w:p w:rsidR="0079622D" w:rsidRDefault="0039749E">
      <w:pPr>
        <w:spacing w:before="180" w:after="80"/>
      </w:pPr>
      <w:r>
        <w:rPr>
          <w:rFonts w:ascii="Lato" w:eastAsia="Lato" w:hAnsi="Lato" w:cs="Lato"/>
          <w:b/>
          <w:bCs/>
          <w:color w:val="5C9627"/>
          <w:sz w:val="24"/>
          <w:szCs w:val="24"/>
        </w:rPr>
        <w:t>630 W Washington Avenue — San Diego</w:t>
      </w:r>
    </w:p>
    <w:p w:rsidR="0079622D" w:rsidRDefault="0039749E">
      <w:pPr>
        <w:spacing w:after="140"/>
      </w:pPr>
      <w:r>
        <w:rPr>
          <w:i/>
          <w:iCs/>
          <w:color w:val="8A8F94"/>
          <w:sz w:val="20"/>
          <w:szCs w:val="20"/>
        </w:rPr>
        <w:t>Stabilized · 12 units · Acquired December 2021</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9622D">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9622D" w:rsidRDefault="0039749E">
            <w:pPr>
              <w:spacing w:after="80"/>
            </w:pPr>
            <w:r>
              <w:rPr>
                <w:rFonts w:ascii="Lato" w:eastAsia="Lato" w:hAnsi="Lato" w:cs="Lato"/>
                <w:b/>
                <w:bCs/>
                <w:sz w:val="18"/>
                <w:szCs w:val="18"/>
              </w:rPr>
              <w:t>Headline</w:t>
            </w:r>
          </w:p>
          <w:p w:rsidR="0079622D" w:rsidRDefault="0039749E">
            <w:r>
              <w:rPr>
                <w:i/>
                <w:iCs/>
                <w:sz w:val="24"/>
                <w:szCs w:val="24"/>
              </w:rPr>
              <w:t>Estimated -33.01% levered project return (paper loss, unrealized)</w:t>
            </w:r>
          </w:p>
        </w:tc>
      </w:tr>
    </w:tbl>
    <w:p w:rsidR="0079622D" w:rsidRDefault="0079622D">
      <w:pPr>
        <w:spacing w:after="80"/>
      </w:pPr>
    </w:p>
    <w:p w:rsidR="0079622D" w:rsidRDefault="0039749E">
      <w:pPr>
        <w:spacing w:after="140"/>
      </w:pPr>
      <w:r>
        <w:t>The only deal in the VWC portfolio currently marked at a paper loss. Acquired in the last weeks of 2021, before the rate environment shifted decisively in 2022. VWC has chosen to operate the asset through the cap-rate widening rather than force a disposition into a weak window. Conservative 50% LTV gave VWC the optionality to hold.</w:t>
      </w:r>
    </w:p>
    <w:p w:rsidR="0079622D" w:rsidRDefault="0039749E">
      <w:pPr>
        <w:spacing w:before="180" w:after="80"/>
      </w:pPr>
      <w:r>
        <w:rPr>
          <w:rFonts w:ascii="Lato" w:eastAsia="Lato" w:hAnsi="Lato" w:cs="Lato"/>
          <w:b/>
          <w:bCs/>
          <w:color w:val="5C9627"/>
          <w:sz w:val="24"/>
          <w:szCs w:val="24"/>
        </w:rPr>
        <w:t>What this deal teaches</w:t>
      </w:r>
    </w:p>
    <w:p w:rsidR="0079622D" w:rsidRDefault="0039749E">
      <w:pPr>
        <w:spacing w:after="140"/>
      </w:pPr>
      <w:r>
        <w:t>Honest track records include the deals that didn't work. A 70%–80% LTV operator would face refinance pressure in this rate environment. VWC can wait. The story this asset tells is about leverage discipline — investors who avoided forced losses through 2022–2024 set their LTV ceiling before the cycle turned.</w:t>
      </w:r>
    </w:p>
    <w:p w:rsidR="0079622D" w:rsidRDefault="0039749E">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lastRenderedPageBreak/>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$3,530,900 ($294K/unit)</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$334,949</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$4,255,203</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$2,118,600 (50% LTV)</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$3,550,000</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Estimated paper loss</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-$705,203</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Levered return (estimated)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-33.01%</w:t>
            </w:r>
          </w:p>
        </w:tc>
      </w:tr>
    </w:tbl>
    <w:p w:rsidR="0079622D" w:rsidRDefault="0079622D">
      <w:pPr>
        <w:spacing w:after="120"/>
      </w:pPr>
    </w:p>
    <w:p w:rsidR="0079622D" w:rsidRDefault="0039749E">
      <w:pPr>
        <w:pBdr>
          <w:bottom w:val="single" w:sz="12" w:space="4" w:color="A3D55D"/>
        </w:pBdr>
        <w:spacing w:before="240" w:after="160"/>
      </w:pPr>
      <w:r>
        <w:rPr>
          <w:rFonts w:ascii="Lato" w:eastAsia="Lato" w:hAnsi="Lato" w:cs="Lato"/>
          <w:b/>
          <w:bCs/>
          <w:sz w:val="32"/>
          <w:szCs w:val="32"/>
        </w:rPr>
        <w:t>Case study two</w:t>
      </w:r>
    </w:p>
    <w:p w:rsidR="0079622D" w:rsidRDefault="0039749E">
      <w:pPr>
        <w:spacing w:before="180" w:after="80"/>
      </w:pPr>
      <w:r>
        <w:rPr>
          <w:rFonts w:ascii="Lato" w:eastAsia="Lato" w:hAnsi="Lato" w:cs="Lato"/>
          <w:b/>
          <w:bCs/>
          <w:color w:val="5C9627"/>
          <w:sz w:val="24"/>
          <w:szCs w:val="24"/>
        </w:rPr>
        <w:t>330 W I Street — Encinitas (North San Diego County)</w:t>
      </w:r>
    </w:p>
    <w:p w:rsidR="0079622D" w:rsidRDefault="0039749E">
      <w:pPr>
        <w:spacing w:after="140"/>
      </w:pPr>
      <w:r>
        <w:rPr>
          <w:i/>
          <w:iCs/>
          <w:color w:val="8A8F94"/>
          <w:sz w:val="20"/>
          <w:szCs w:val="20"/>
        </w:rPr>
        <w:t>In renovation · 21 units · Acquired September 2024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79622D">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9622D" w:rsidRDefault="0039749E">
            <w:pPr>
              <w:spacing w:after="80"/>
            </w:pPr>
            <w:r>
              <w:rPr>
                <w:rFonts w:ascii="Lato" w:eastAsia="Lato" w:hAnsi="Lato" w:cs="Lato"/>
                <w:b/>
                <w:bCs/>
                <w:sz w:val="18"/>
                <w:szCs w:val="18"/>
              </w:rPr>
              <w:t>Headline</w:t>
            </w:r>
          </w:p>
          <w:p w:rsidR="0079622D" w:rsidRDefault="0039749E">
            <w:r>
              <w:rPr>
                <w:i/>
                <w:iCs/>
                <w:sz w:val="24"/>
                <w:szCs w:val="24"/>
              </w:rPr>
              <w:t>Estimated 38.99% levered project return</w:t>
            </w:r>
          </w:p>
        </w:tc>
      </w:tr>
    </w:tbl>
    <w:p w:rsidR="0079622D" w:rsidRDefault="0079622D">
      <w:pPr>
        <w:spacing w:after="80"/>
      </w:pPr>
    </w:p>
    <w:p w:rsidR="0079622D" w:rsidRDefault="0039749E">
      <w:pPr>
        <w:spacing w:after="140"/>
      </w:pPr>
      <w:r>
        <w:t>VWC's largest acquisition to date — at $13.15M, roughly 2.3x the size of the next-largest VWC transaction. Encinitas is one of the most supply-constrained coastal submarkets in San Diego County. A heavy reposition with $1.2M projected CapEx — the largest CapEx commitment in VWC's history.</w:t>
      </w:r>
    </w:p>
    <w:p w:rsidR="0079622D" w:rsidRDefault="0039749E">
      <w:pPr>
        <w:spacing w:before="180" w:after="80"/>
      </w:pPr>
      <w:r>
        <w:rPr>
          <w:rFonts w:ascii="Lato" w:eastAsia="Lato" w:hAnsi="Lato" w:cs="Lato"/>
          <w:b/>
          <w:bCs/>
          <w:color w:val="5C9627"/>
          <w:sz w:val="24"/>
          <w:szCs w:val="24"/>
        </w:rPr>
        <w:t>What this deal teaches</w:t>
      </w:r>
    </w:p>
    <w:p w:rsidR="0079622D" w:rsidRDefault="0039749E">
      <w:pPr>
        <w:spacing w:after="140"/>
      </w:pPr>
      <w:r>
        <w:t>A live demonstration that VWC's operating model — sub-50% LTV, value-add coastal multifamily, in-house construction — holds at scale. The framework didn't change as the firm grew. Only the deal size did.</w:t>
      </w:r>
    </w:p>
    <w:p w:rsidR="0079622D" w:rsidRDefault="0039749E">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$13,150,000 ($626K/unit)</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CapEx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$1,200,000</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Total cost (projected)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$15,484,500</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$7,750,000 (50% LTV)</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$18,500,000 ($881K/unit)</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$3,015,500</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38.99%</w:t>
            </w:r>
          </w:p>
        </w:tc>
      </w:tr>
    </w:tbl>
    <w:p w:rsidR="0079622D" w:rsidRDefault="0079622D">
      <w:pPr>
        <w:spacing w:after="120"/>
      </w:pPr>
    </w:p>
    <w:p w:rsidR="0079622D" w:rsidRDefault="0039749E">
      <w:pPr>
        <w:pBdr>
          <w:bottom w:val="single" w:sz="12" w:space="4" w:color="A3D55D"/>
        </w:pBdr>
        <w:spacing w:before="240" w:after="160"/>
      </w:pPr>
      <w:r>
        <w:rPr>
          <w:rFonts w:ascii="Lato" w:eastAsia="Lato" w:hAnsi="Lato" w:cs="Lato"/>
          <w:b/>
          <w:bCs/>
          <w:sz w:val="32"/>
          <w:szCs w:val="32"/>
        </w:rPr>
        <w:t>How RIA placements with VWC work</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Products</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Direct-deal LLCs ($100K min) and Sidecar single-asset LLCs ($500K min)</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Coastal Orange County and San Diego County multifamily</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Direct deal 24–30 months; Sidecar 18–24 months</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Compensation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GP carry + management fee, fully disclosed; no retros</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AppFolio Investor portal — client statements available</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Underwriting</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sz w:val="20"/>
                <w:szCs w:val="20"/>
              </w:rPr>
              <w:t>≤50% LTV after month 6; 5–75 unit sub-institutional buy box</w:t>
            </w:r>
          </w:p>
        </w:tc>
      </w:tr>
      <w:tr w:rsidR="0079622D">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9622D" w:rsidRDefault="0039749E">
            <w:r>
              <w:rPr>
                <w:b/>
                <w:bCs/>
                <w:sz w:val="20"/>
                <w:szCs w:val="20"/>
              </w:rPr>
              <w:t>Track record</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9622D" w:rsidRDefault="0039749E">
            <w:r>
              <w:rPr>
                <w:sz w:val="20"/>
                <w:szCs w:val="20"/>
              </w:rPr>
              <w:t>24 deals, 227 units, 23.95% avg levered project return</w:t>
            </w:r>
          </w:p>
        </w:tc>
      </w:tr>
    </w:tbl>
    <w:p w:rsidR="0079622D" w:rsidRDefault="0079622D">
      <w:pPr>
        <w:spacing w:after="120"/>
      </w:pPr>
    </w:p>
    <w:p w:rsidR="0079622D" w:rsidRDefault="0039749E">
      <w:pPr>
        <w:pBdr>
          <w:bottom w:val="single" w:sz="12" w:space="4" w:color="A3D55D"/>
        </w:pBdr>
        <w:spacing w:before="240" w:after="160"/>
      </w:pPr>
      <w:r>
        <w:rPr>
          <w:rFonts w:ascii="Lato" w:eastAsia="Lato" w:hAnsi="Lato" w:cs="Lato"/>
          <w:b/>
          <w:bCs/>
          <w:sz w:val="32"/>
          <w:szCs w:val="32"/>
        </w:rPr>
        <w:t>Our values, briefly</w:t>
      </w:r>
    </w:p>
    <w:p w:rsidR="0079622D" w:rsidRDefault="0039749E">
      <w:pPr>
        <w:spacing w:after="140"/>
      </w:pPr>
      <w:r>
        <w:t>VisionWise Capital is governed by two pairs of values. The first pair — Entrepreneurial, Strategic Thinker, Resolute — describes how we work. The second pair — Faith and Clear Conscience — describes the standard we hold ourselves to.</w:t>
      </w:r>
    </w:p>
    <w:p w:rsidR="0079622D" w:rsidRDefault="0039749E">
      <w:pPr>
        <w:pBdr>
          <w:left w:val="single" w:sz="18" w:space="12" w:color="A3D55D"/>
        </w:pBdr>
        <w:spacing w:before="120" w:after="120"/>
        <w:ind w:left="360"/>
      </w:pPr>
      <w:r>
        <w:rPr>
          <w:i/>
          <w:iCs/>
          <w:color w:val="666B70"/>
        </w:rPr>
        <w:t>Committed to investors over projects.</w:t>
      </w:r>
    </w:p>
    <w:p w:rsidR="0079622D" w:rsidRDefault="0039749E">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79622D" w:rsidRDefault="0039749E">
      <w:pPr>
        <w:pBdr>
          <w:bottom w:val="single" w:sz="12" w:space="4" w:color="A3D55D"/>
        </w:pBdr>
        <w:spacing w:before="240" w:after="160"/>
      </w:pPr>
      <w:r>
        <w:rPr>
          <w:rFonts w:ascii="Lato" w:eastAsia="Lato" w:hAnsi="Lato" w:cs="Lato"/>
          <w:b/>
          <w:bCs/>
          <w:sz w:val="32"/>
          <w:szCs w:val="32"/>
        </w:rPr>
        <w:t>Next step</w:t>
      </w:r>
    </w:p>
    <w:p w:rsidR="0079622D" w:rsidRDefault="0039749E">
      <w:pPr>
        <w:spacing w:after="140"/>
      </w:pPr>
      <w:r>
        <w:t>Please reply to schedule a 45-minute IC briefing in person or via video. We will bring the deal-level deck, the worst-deal post-mortem, and a sample reporting package.</w:t>
      </w:r>
    </w:p>
    <w:p w:rsidR="0079622D" w:rsidRDefault="0079622D">
      <w:pPr>
        <w:spacing w:after="120"/>
      </w:pPr>
    </w:p>
    <w:p w:rsidR="0079622D" w:rsidRDefault="0039749E">
      <w:pPr>
        <w:spacing w:after="140"/>
      </w:pPr>
      <w:r>
        <w:rPr>
          <w:i/>
          <w:iCs/>
          <w:color w:val="666B70"/>
        </w:rPr>
        <w:t>An RIA franchise lives on quality of placement, not volume. We take that seriously because we used to be one of you.</w:t>
      </w:r>
    </w:p>
    <w:p w:rsidR="0079622D" w:rsidRDefault="0079622D">
      <w:pPr>
        <w:spacing w:after="120"/>
      </w:pPr>
    </w:p>
    <w:p w:rsidR="0079622D" w:rsidRDefault="0079622D">
      <w:pPr>
        <w:spacing w:after="120"/>
      </w:pPr>
    </w:p>
    <w:p w:rsidR="0079622D" w:rsidRDefault="0039749E">
      <w:pPr>
        <w:spacing w:after="140"/>
      </w:pPr>
      <w:r>
        <w:rPr>
          <w:i/>
          <w:iCs/>
        </w:rPr>
        <w:t>With respect,</w:t>
      </w:r>
    </w:p>
    <w:p w:rsidR="0079622D" w:rsidRDefault="0079622D">
      <w:pPr>
        <w:spacing w:after="80"/>
      </w:pPr>
    </w:p>
    <w:p w:rsidR="0079622D" w:rsidRDefault="0039749E">
      <w:pPr>
        <w:spacing w:after="140"/>
      </w:pPr>
      <w:r>
        <w:rPr>
          <w:rFonts w:ascii="Lato" w:eastAsia="Lato" w:hAnsi="Lato" w:cs="Lato"/>
          <w:b/>
          <w:bCs/>
          <w:sz w:val="26"/>
          <w:szCs w:val="26"/>
        </w:rPr>
        <w:t>Sanford D. Coggins</w:t>
      </w:r>
    </w:p>
    <w:p w:rsidR="0079622D" w:rsidRDefault="0039749E">
      <w:pPr>
        <w:spacing w:after="140"/>
      </w:pPr>
      <w:r>
        <w:rPr>
          <w:i/>
          <w:iCs/>
          <w:color w:val="8A8F94"/>
          <w:sz w:val="20"/>
          <w:szCs w:val="20"/>
        </w:rPr>
        <w:t>CEO &amp; Founder, VisionWise Capital LLC</w:t>
      </w:r>
    </w:p>
    <w:p w:rsidR="0079622D" w:rsidRDefault="0039749E">
      <w:pPr>
        <w:pageBreakBefore/>
        <w:spacing w:before="280" w:after="200"/>
      </w:pPr>
      <w:r>
        <w:rPr>
          <w:rFonts w:ascii="Lato" w:eastAsia="Lato" w:hAnsi="Lato" w:cs="Lato"/>
          <w:b/>
          <w:bCs/>
          <w:sz w:val="48"/>
          <w:szCs w:val="48"/>
        </w:rPr>
        <w:lastRenderedPageBreak/>
        <w:t>Important disclosures</w:t>
      </w:r>
    </w:p>
    <w:p w:rsidR="0079622D" w:rsidRDefault="0039749E">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79622D" w:rsidRDefault="0079622D">
      <w:pPr>
        <w:spacing w:after="120"/>
      </w:pPr>
    </w:p>
    <w:p w:rsidR="0079622D" w:rsidRDefault="0039749E">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79622D">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749E" w:rsidRDefault="0039749E">
      <w:r>
        <w:separator/>
      </w:r>
    </w:p>
  </w:endnote>
  <w:endnote w:type="continuationSeparator" w:id="0">
    <w:p w:rsidR="0039749E" w:rsidRDefault="00397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622D" w:rsidRDefault="0039749E">
    <w:pPr>
      <w:pBdr>
        <w:top w:val="single" w:sz="6" w:space="4" w:color="A3D55D"/>
      </w:pBdr>
      <w:spacing w:after="60"/>
      <w:jc w:val="center"/>
    </w:pPr>
    <w:r>
      <w:rPr>
        <w:color w:val="8A8F94"/>
        <w:sz w:val="16"/>
        <w:szCs w:val="16"/>
      </w:rPr>
      <w:t>VisionWise Capital LLC  ·  visionwisecapital.com  ·  (949) 441-5580</w:t>
    </w:r>
  </w:p>
  <w:p w:rsidR="0079622D" w:rsidRDefault="0039749E">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870719">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870719">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749E" w:rsidRDefault="0039749E">
      <w:r>
        <w:separator/>
      </w:r>
    </w:p>
  </w:footnote>
  <w:footnote w:type="continuationSeparator" w:id="0">
    <w:p w:rsidR="0039749E" w:rsidRDefault="00397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9622D" w:rsidRDefault="0039749E">
    <w:pPr>
      <w:jc w:val="right"/>
    </w:pPr>
    <w:r>
      <w:rPr>
        <w:i/>
        <w:iCs/>
        <w:color w:val="8A8F94"/>
        <w:sz w:val="16"/>
        <w:szCs w:val="16"/>
      </w:rPr>
      <w:t>VisionWise Capital  ·  Company Overview  ·  For Registered Investment Advisors Considering Real Estate Alternatives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4983"/>
    <w:multiLevelType w:val="hybridMultilevel"/>
    <w:tmpl w:val="CED8CFC6"/>
    <w:lvl w:ilvl="0" w:tplc="9950127C">
      <w:start w:val="1"/>
      <w:numFmt w:val="bullet"/>
      <w:lvlText w:val="●"/>
      <w:lvlJc w:val="left"/>
      <w:pPr>
        <w:ind w:left="720" w:hanging="360"/>
      </w:pPr>
    </w:lvl>
    <w:lvl w:ilvl="1" w:tplc="72EEA4A8">
      <w:start w:val="1"/>
      <w:numFmt w:val="bullet"/>
      <w:lvlText w:val="○"/>
      <w:lvlJc w:val="left"/>
      <w:pPr>
        <w:ind w:left="1440" w:hanging="360"/>
      </w:pPr>
    </w:lvl>
    <w:lvl w:ilvl="2" w:tplc="37BA2C0A">
      <w:start w:val="1"/>
      <w:numFmt w:val="bullet"/>
      <w:lvlText w:val="■"/>
      <w:lvlJc w:val="left"/>
      <w:pPr>
        <w:ind w:left="2160" w:hanging="360"/>
      </w:pPr>
    </w:lvl>
    <w:lvl w:ilvl="3" w:tplc="FBFA6E26">
      <w:start w:val="1"/>
      <w:numFmt w:val="bullet"/>
      <w:lvlText w:val="●"/>
      <w:lvlJc w:val="left"/>
      <w:pPr>
        <w:ind w:left="2880" w:hanging="360"/>
      </w:pPr>
    </w:lvl>
    <w:lvl w:ilvl="4" w:tplc="FFA61B2C">
      <w:start w:val="1"/>
      <w:numFmt w:val="bullet"/>
      <w:lvlText w:val="○"/>
      <w:lvlJc w:val="left"/>
      <w:pPr>
        <w:ind w:left="3600" w:hanging="360"/>
      </w:pPr>
    </w:lvl>
    <w:lvl w:ilvl="5" w:tplc="DD802ECA">
      <w:start w:val="1"/>
      <w:numFmt w:val="bullet"/>
      <w:lvlText w:val="■"/>
      <w:lvlJc w:val="left"/>
      <w:pPr>
        <w:ind w:left="4320" w:hanging="360"/>
      </w:pPr>
    </w:lvl>
    <w:lvl w:ilvl="6" w:tplc="4E4658B8">
      <w:start w:val="1"/>
      <w:numFmt w:val="bullet"/>
      <w:lvlText w:val="●"/>
      <w:lvlJc w:val="left"/>
      <w:pPr>
        <w:ind w:left="5040" w:hanging="360"/>
      </w:pPr>
    </w:lvl>
    <w:lvl w:ilvl="7" w:tplc="EA44E50E">
      <w:start w:val="1"/>
      <w:numFmt w:val="bullet"/>
      <w:lvlText w:val="●"/>
      <w:lvlJc w:val="left"/>
      <w:pPr>
        <w:ind w:left="5760" w:hanging="360"/>
      </w:pPr>
    </w:lvl>
    <w:lvl w:ilvl="8" w:tplc="08A04D16">
      <w:start w:val="1"/>
      <w:numFmt w:val="bullet"/>
      <w:lvlText w:val="●"/>
      <w:lvlJc w:val="left"/>
      <w:pPr>
        <w:ind w:left="6480" w:hanging="360"/>
      </w:pPr>
    </w:lvl>
  </w:abstractNum>
  <w:abstractNum w:abstractNumId="1" w15:restartNumberingAfterBreak="0">
    <w:nsid w:val="4081446B"/>
    <w:multiLevelType w:val="hybridMultilevel"/>
    <w:tmpl w:val="DB1EAEA0"/>
    <w:lvl w:ilvl="0" w:tplc="B6DCCBC2">
      <w:start w:val="1"/>
      <w:numFmt w:val="decimal"/>
      <w:lvlText w:val="%1."/>
      <w:lvlJc w:val="left"/>
      <w:pPr>
        <w:ind w:left="540" w:hanging="270"/>
      </w:pPr>
      <w:rPr>
        <w:rFonts w:ascii="Open Sans" w:eastAsia="Open Sans" w:hAnsi="Open Sans" w:cs="Open Sans"/>
        <w:b/>
        <w:bCs/>
        <w:color w:val="5C9627"/>
      </w:rPr>
    </w:lvl>
    <w:lvl w:ilvl="1" w:tplc="7A023F7A">
      <w:numFmt w:val="decimal"/>
      <w:lvlText w:val=""/>
      <w:lvlJc w:val="left"/>
    </w:lvl>
    <w:lvl w:ilvl="2" w:tplc="B2C259D6">
      <w:numFmt w:val="decimal"/>
      <w:lvlText w:val=""/>
      <w:lvlJc w:val="left"/>
    </w:lvl>
    <w:lvl w:ilvl="3" w:tplc="F91A24C8">
      <w:numFmt w:val="decimal"/>
      <w:lvlText w:val=""/>
      <w:lvlJc w:val="left"/>
    </w:lvl>
    <w:lvl w:ilvl="4" w:tplc="8F6E167C">
      <w:numFmt w:val="decimal"/>
      <w:lvlText w:val=""/>
      <w:lvlJc w:val="left"/>
    </w:lvl>
    <w:lvl w:ilvl="5" w:tplc="FA7E66C0">
      <w:numFmt w:val="decimal"/>
      <w:lvlText w:val=""/>
      <w:lvlJc w:val="left"/>
    </w:lvl>
    <w:lvl w:ilvl="6" w:tplc="3D0A2D88">
      <w:numFmt w:val="decimal"/>
      <w:lvlText w:val=""/>
      <w:lvlJc w:val="left"/>
    </w:lvl>
    <w:lvl w:ilvl="7" w:tplc="46581A82">
      <w:numFmt w:val="decimal"/>
      <w:lvlText w:val=""/>
      <w:lvlJc w:val="left"/>
    </w:lvl>
    <w:lvl w:ilvl="8" w:tplc="37DEBEC8">
      <w:numFmt w:val="decimal"/>
      <w:lvlText w:val=""/>
      <w:lvlJc w:val="left"/>
    </w:lvl>
  </w:abstractNum>
  <w:abstractNum w:abstractNumId="2" w15:restartNumberingAfterBreak="0">
    <w:nsid w:val="51933D2C"/>
    <w:multiLevelType w:val="hybridMultilevel"/>
    <w:tmpl w:val="08782D42"/>
    <w:lvl w:ilvl="0" w:tplc="C5EC79C0">
      <w:start w:val="1"/>
      <w:numFmt w:val="bullet"/>
      <w:lvlText w:val="•"/>
      <w:lvlJc w:val="left"/>
      <w:pPr>
        <w:ind w:left="540" w:hanging="270"/>
      </w:pPr>
      <w:rPr>
        <w:rFonts w:ascii="Open Sans" w:eastAsia="Open Sans" w:hAnsi="Open Sans" w:cs="Open Sans"/>
        <w:color w:val="5C9627"/>
      </w:rPr>
    </w:lvl>
    <w:lvl w:ilvl="1" w:tplc="4706270C">
      <w:numFmt w:val="decimal"/>
      <w:lvlText w:val=""/>
      <w:lvlJc w:val="left"/>
    </w:lvl>
    <w:lvl w:ilvl="2" w:tplc="7FEE4B34">
      <w:numFmt w:val="decimal"/>
      <w:lvlText w:val=""/>
      <w:lvlJc w:val="left"/>
    </w:lvl>
    <w:lvl w:ilvl="3" w:tplc="7B0883FE">
      <w:numFmt w:val="decimal"/>
      <w:lvlText w:val=""/>
      <w:lvlJc w:val="left"/>
    </w:lvl>
    <w:lvl w:ilvl="4" w:tplc="272E6BCE">
      <w:numFmt w:val="decimal"/>
      <w:lvlText w:val=""/>
      <w:lvlJc w:val="left"/>
    </w:lvl>
    <w:lvl w:ilvl="5" w:tplc="4C9207D0">
      <w:numFmt w:val="decimal"/>
      <w:lvlText w:val=""/>
      <w:lvlJc w:val="left"/>
    </w:lvl>
    <w:lvl w:ilvl="6" w:tplc="32F412D6">
      <w:numFmt w:val="decimal"/>
      <w:lvlText w:val=""/>
      <w:lvlJc w:val="left"/>
    </w:lvl>
    <w:lvl w:ilvl="7" w:tplc="F3AC989A">
      <w:numFmt w:val="decimal"/>
      <w:lvlText w:val=""/>
      <w:lvlJc w:val="left"/>
    </w:lvl>
    <w:lvl w:ilvl="8" w:tplc="E32230B4">
      <w:numFmt w:val="decimal"/>
      <w:lvlText w:val=""/>
      <w:lvlJc w:val="left"/>
    </w:lvl>
  </w:abstractNum>
  <w:num w:numId="1" w16cid:durableId="2146654615">
    <w:abstractNumId w:val="0"/>
    <w:lvlOverride w:ilvl="0">
      <w:startOverride w:val="1"/>
    </w:lvlOverride>
  </w:num>
  <w:num w:numId="2" w16cid:durableId="63795102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622D"/>
    <w:rsid w:val="0039749E"/>
    <w:rsid w:val="00641079"/>
    <w:rsid w:val="0079622D"/>
    <w:rsid w:val="00870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1092</Words>
  <Characters>6099</Characters>
  <Application>Microsoft Office Word</Application>
  <DocSecurity>0</DocSecurity>
  <Lines>169</Lines>
  <Paragraphs>133</Paragraphs>
  <ScaleCrop>false</ScaleCrop>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RIA / Wealth Advisor</dc:title>
  <dc:creator>VisionWise Capital</dc:creator>
  <dc:description>Persona-tailored company overview for For Registered Investment Advisors Considering Real Estate Alternatives</dc:description>
  <cp:lastModifiedBy>Ravi Jain</cp:lastModifiedBy>
  <cp:revision>2</cp:revision>
  <cp:lastPrinted>2026-04-25T21:24:00Z</cp:lastPrinted>
  <dcterms:created xsi:type="dcterms:W3CDTF">2026-04-25T21:24:00Z</dcterms:created>
  <dcterms:modified xsi:type="dcterms:W3CDTF">2026-04-25T21:24:00Z</dcterms:modified>
</cp:coreProperties>
</file>