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130A" w:rsidRDefault="008561C6">
      <w:pPr>
        <w:spacing w:before="1600" w:after="200"/>
        <w:jc w:val="center"/>
      </w:pPr>
      <w:r>
        <w:rPr>
          <w:noProof/>
        </w:rPr>
        <w:drawing>
          <wp:inline distT="0" distB="0" distL="0" distR="0">
            <wp:extent cx="2667000" cy="609600"/>
            <wp:effectExtent l="0" t="0" r="0" b="0"/>
            <wp:docPr id="1" name="VWC Logo" descr="VisionWise Capital logo" title="VisionWise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609600"/>
                    </a:xfrm>
                    <a:prstGeom prst="rect">
                      <a:avLst/>
                    </a:prstGeom>
                  </pic:spPr>
                </pic:pic>
              </a:graphicData>
            </a:graphic>
          </wp:inline>
        </w:drawing>
      </w:r>
    </w:p>
    <w:p w:rsidR="00AA130A" w:rsidRDefault="008561C6">
      <w:pPr>
        <w:spacing w:after="800"/>
        <w:jc w:val="center"/>
      </w:pPr>
      <w:r>
        <w:rPr>
          <w:i/>
          <w:iCs/>
          <w:color w:val="8A8F94"/>
          <w:sz w:val="24"/>
          <w:szCs w:val="24"/>
        </w:rPr>
        <w:t>Multifamily Real Estate Investments</w:t>
      </w:r>
    </w:p>
    <w:p w:rsidR="00AA130A" w:rsidRDefault="00AA130A">
      <w:pPr>
        <w:pBdr>
          <w:bottom w:val="single" w:sz="18" w:space="1" w:color="A3D55D"/>
        </w:pBdr>
        <w:spacing w:before="200" w:after="800"/>
        <w:jc w:val="center"/>
      </w:pPr>
    </w:p>
    <w:p w:rsidR="00AA130A" w:rsidRDefault="008561C6">
      <w:pPr>
        <w:spacing w:after="240"/>
        <w:jc w:val="center"/>
      </w:pPr>
      <w:r>
        <w:rPr>
          <w:rFonts w:ascii="Lato" w:eastAsia="Lato" w:hAnsi="Lato" w:cs="Lato"/>
          <w:b/>
          <w:bCs/>
          <w:sz w:val="56"/>
          <w:szCs w:val="56"/>
        </w:rPr>
        <w:t>A company overview</w:t>
      </w:r>
    </w:p>
    <w:p w:rsidR="00AA130A" w:rsidRDefault="008561C6">
      <w:pPr>
        <w:spacing w:after="1200"/>
        <w:jc w:val="center"/>
      </w:pPr>
      <w:r>
        <w:rPr>
          <w:color w:val="666B70"/>
          <w:sz w:val="26"/>
          <w:szCs w:val="26"/>
        </w:rPr>
        <w:t>For High-Income Professionals Building Tax-Advantaged Wealth</w:t>
      </w:r>
    </w:p>
    <w:p w:rsidR="00AA130A" w:rsidRDefault="008561C6">
      <w:pPr>
        <w:spacing w:before="800" w:after="60"/>
        <w:jc w:val="center"/>
      </w:pPr>
      <w:r>
        <w:t>VisionWise Capital LLC  ·  Mission Viejo, California</w:t>
      </w:r>
    </w:p>
    <w:p w:rsidR="00AA130A" w:rsidRDefault="008561C6">
      <w:pPr>
        <w:spacing w:after="60"/>
        <w:jc w:val="center"/>
      </w:pPr>
      <w:r>
        <w:rPr>
          <w:color w:val="8A8F94"/>
          <w:sz w:val="20"/>
          <w:szCs w:val="20"/>
        </w:rPr>
        <w:t>(949) 441-5580  ·  info@visionwisecapital.com  ·  visionwisecapital.com</w:t>
      </w:r>
    </w:p>
    <w:p w:rsidR="00AA130A" w:rsidRDefault="008561C6">
      <w:pPr>
        <w:pageBreakBefore/>
        <w:spacing w:before="280" w:after="200"/>
      </w:pPr>
      <w:r>
        <w:rPr>
          <w:rFonts w:ascii="Lato" w:eastAsia="Lato" w:hAnsi="Lato" w:cs="Lato"/>
          <w:b/>
          <w:bCs/>
          <w:sz w:val="48"/>
          <w:szCs w:val="48"/>
        </w:rPr>
        <w:lastRenderedPageBreak/>
        <w:t>For the Surgeon, Engineer, Attorney, or Executive Earning Past the Tax-Code Cliff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A130A">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AA130A" w:rsidRDefault="008561C6">
            <w:pPr>
              <w:spacing w:after="80"/>
            </w:pPr>
            <w:r>
              <w:rPr>
                <w:rFonts w:ascii="Lato" w:eastAsia="Lato" w:hAnsi="Lato" w:cs="Lato"/>
                <w:b/>
                <w:bCs/>
                <w:sz w:val="18"/>
                <w:szCs w:val="18"/>
              </w:rPr>
              <w:t>Why we are writing</w:t>
            </w:r>
          </w:p>
          <w:p w:rsidR="00AA130A" w:rsidRDefault="008561C6">
            <w:r>
              <w:rPr>
                <w:i/>
                <w:iCs/>
                <w:sz w:val="24"/>
                <w:szCs w:val="24"/>
              </w:rPr>
              <w:t>You are paid in full-tax W-2 dollars or partnership income. You have RSU concentration risk. You don't want to be a landlord. We solve all three.</w:t>
            </w:r>
          </w:p>
        </w:tc>
      </w:tr>
    </w:tbl>
    <w:p w:rsidR="00AA130A" w:rsidRDefault="00AA130A">
      <w:pPr>
        <w:spacing w:after="120"/>
      </w:pPr>
    </w:p>
    <w:p w:rsidR="00AA130A" w:rsidRDefault="008561C6">
      <w:pPr>
        <w:spacing w:after="140"/>
      </w:pPr>
      <w:r>
        <w:t>VisionWise Capital's Direct-deal multifamily offerings deliver depreciation pass-through to accredited investors at a $100,000 minimum. The structure is built for high-income professionals who need passive real estate exposure: the K-1 arrives, depreciation hits other passive income, and the 24- to 30-month hold matches the rhythm of your portfolio review, not your week.</w:t>
      </w:r>
    </w:p>
    <w:p w:rsidR="00AA130A" w:rsidRDefault="00AA130A">
      <w:pPr>
        <w:spacing w:after="80"/>
      </w:pPr>
    </w:p>
    <w:p w:rsidR="00AA130A" w:rsidRDefault="008561C6">
      <w:pPr>
        <w:spacing w:after="140"/>
      </w:pPr>
      <w:r>
        <w:t>If you are earning past the threshold where tax efficiency becomes the binding constraint, we want a 30-minute phone call. Bring your CPA. We will walk through the depreciation math, the K-1 mechanics, and which of our current deals fits your tax position.</w:t>
      </w:r>
    </w:p>
    <w:p w:rsidR="00AA130A" w:rsidRDefault="008561C6">
      <w:pPr>
        <w:pBdr>
          <w:bottom w:val="single" w:sz="12" w:space="4" w:color="A3D55D"/>
        </w:pBdr>
        <w:spacing w:before="240" w:after="160"/>
      </w:pPr>
      <w:r>
        <w:rPr>
          <w:rFonts w:ascii="Lato" w:eastAsia="Lato" w:hAnsi="Lato" w:cs="Lato"/>
          <w:b/>
          <w:bCs/>
          <w:sz w:val="32"/>
          <w:szCs w:val="32"/>
        </w:rPr>
        <w:t>Why VisionWise Capital matters to you</w:t>
      </w:r>
    </w:p>
    <w:p w:rsidR="00AA130A" w:rsidRDefault="008561C6">
      <w:pPr>
        <w:pStyle w:val="ListParagraph"/>
        <w:numPr>
          <w:ilvl w:val="0"/>
          <w:numId w:val="2"/>
        </w:numPr>
        <w:spacing w:after="60"/>
      </w:pPr>
      <w:r>
        <w:t>Depreciation pass-through. Multifamily real estate generates non-cash depreciation that flows through your K-1. It does not offset W-2 income unless you qualify as a Real Estate Professional, but it offsets other passive income, carries forward, and reduces gain on sale.</w:t>
      </w:r>
    </w:p>
    <w:p w:rsidR="00AA130A" w:rsidRDefault="008561C6">
      <w:pPr>
        <w:pStyle w:val="ListParagraph"/>
        <w:numPr>
          <w:ilvl w:val="0"/>
          <w:numId w:val="2"/>
        </w:numPr>
        <w:spacing w:after="60"/>
      </w:pPr>
      <w:r>
        <w:t>Truly passive. We carry 56 staff. You file the K-1 and answer two emails a year.</w:t>
      </w:r>
    </w:p>
    <w:p w:rsidR="00AA130A" w:rsidRDefault="008561C6">
      <w:pPr>
        <w:pStyle w:val="ListParagraph"/>
        <w:numPr>
          <w:ilvl w:val="0"/>
          <w:numId w:val="2"/>
        </w:numPr>
        <w:spacing w:after="60"/>
      </w:pPr>
      <w:r>
        <w:t>$100,000 minimum. Designed for the wealth-builder, not the family office. Direct-deal participation across multiple offerings lets you stage capital deployment.</w:t>
      </w:r>
    </w:p>
    <w:p w:rsidR="00AA130A" w:rsidRDefault="008561C6">
      <w:pPr>
        <w:pStyle w:val="ListParagraph"/>
        <w:numPr>
          <w:ilvl w:val="0"/>
          <w:numId w:val="2"/>
        </w:numPr>
        <w:spacing w:after="60"/>
      </w:pPr>
      <w:r>
        <w:t>No RSU correlation. Coastal SoCal multifamily is uncorrelated to your employer's stock or the public tech market.</w:t>
      </w:r>
    </w:p>
    <w:p w:rsidR="00AA130A" w:rsidRDefault="008561C6">
      <w:pPr>
        <w:pBdr>
          <w:bottom w:val="single" w:sz="12" w:space="4" w:color="A3D55D"/>
        </w:pBdr>
        <w:spacing w:before="240" w:after="160"/>
      </w:pPr>
      <w:r>
        <w:rPr>
          <w:rFonts w:ascii="Lato" w:eastAsia="Lato" w:hAnsi="Lato" w:cs="Lato"/>
          <w:b/>
          <w:bCs/>
          <w:sz w:val="32"/>
          <w:szCs w:val="32"/>
        </w:rPr>
        <w:t>How VisionWise Capital operates</w:t>
      </w:r>
    </w:p>
    <w:p w:rsidR="00AA130A" w:rsidRDefault="008561C6">
      <w:pPr>
        <w:spacing w:after="140"/>
      </w:pPr>
      <w:r>
        <w:t>We acquire under-managed multifamily property in coastal Southern California — five to seventy-five units, vintage 1940 to 2000 — and improve it to market standard. The playbook is three steps:</w:t>
      </w:r>
    </w:p>
    <w:p w:rsidR="00AA130A" w:rsidRDefault="008561C6">
      <w:pPr>
        <w:pStyle w:val="ListParagraph"/>
        <w:numPr>
          <w:ilvl w:val="0"/>
          <w:numId w:val="2"/>
        </w:numPr>
        <w:spacing w:after="60"/>
      </w:pPr>
      <w:r>
        <w:t>Acquire patiently. We track properties for months at our price, not the seller's. The completeness of our buyer package wins deals where the highest offer does not.</w:t>
      </w:r>
    </w:p>
    <w:p w:rsidR="00AA130A" w:rsidRDefault="008561C6">
      <w:pPr>
        <w:pStyle w:val="ListParagraph"/>
        <w:numPr>
          <w:ilvl w:val="0"/>
          <w:numId w:val="2"/>
        </w:numPr>
        <w:spacing w:after="60"/>
      </w:pPr>
      <w:r>
        <w:t>Modernize in-house. We employ a full-time construction manager with 30 years of experience and roughly 35 in-house tradesmen. The work is not subcontracted to whoever returns the call.</w:t>
      </w:r>
    </w:p>
    <w:p w:rsidR="00AA130A" w:rsidRDefault="008561C6">
      <w:pPr>
        <w:pStyle w:val="ListParagraph"/>
        <w:numPr>
          <w:ilvl w:val="0"/>
          <w:numId w:val="2"/>
        </w:numPr>
        <w:spacing w:after="60"/>
      </w:pPr>
      <w:r>
        <w:t>Move rents to market. Eighteen to twenty-four months later, the property is at market rents and operating at stabilized cap rates. We hold for income or sell for capital appreciation.</w:t>
      </w:r>
    </w:p>
    <w:p w:rsidR="00AA130A" w:rsidRDefault="008561C6">
      <w:pPr>
        <w:spacing w:after="140"/>
      </w:pPr>
      <w:r>
        <w:lastRenderedPageBreak/>
        <w:t>Across 24 deals over 12 years, the portfolio has produced 23.95% average levered project returns — including a -33% paper-loss deal we will discuss before any other deal.</w:t>
      </w:r>
    </w:p>
    <w:p w:rsidR="00AA130A" w:rsidRDefault="008561C6">
      <w:pPr>
        <w:pBdr>
          <w:bottom w:val="single" w:sz="12" w:space="4" w:color="A3D55D"/>
        </w:pBdr>
        <w:spacing w:before="240" w:after="160"/>
      </w:pPr>
      <w:r>
        <w:rPr>
          <w:rFonts w:ascii="Lato" w:eastAsia="Lato" w:hAnsi="Lato" w:cs="Lato"/>
          <w:b/>
          <w:bCs/>
          <w:sz w:val="32"/>
          <w:szCs w:val="32"/>
        </w:rPr>
        <w:t>Track record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AA130A">
        <w:tblPrEx>
          <w:tblCellMar>
            <w:top w:w="0" w:type="dxa"/>
            <w:bottom w:w="0" w:type="dxa"/>
          </w:tblCellMar>
        </w:tblPrEx>
        <w:trPr>
          <w:tblHeader/>
        </w:trPr>
        <w:tc>
          <w:tcPr>
            <w:tcW w:w="350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AA130A" w:rsidRDefault="008561C6">
            <w:r>
              <w:rPr>
                <w:rFonts w:ascii="Lato" w:eastAsia="Lato" w:hAnsi="Lato" w:cs="Lato"/>
                <w:b/>
                <w:bCs/>
                <w:color w:val="FFFFFF"/>
                <w:sz w:val="20"/>
                <w:szCs w:val="20"/>
              </w:rPr>
              <w:t>Metric</w:t>
            </w:r>
          </w:p>
        </w:tc>
        <w:tc>
          <w:tcPr>
            <w:tcW w:w="658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AA130A" w:rsidRDefault="008561C6">
            <w:r>
              <w:rPr>
                <w:rFonts w:ascii="Lato" w:eastAsia="Lato" w:hAnsi="Lato" w:cs="Lato"/>
                <w:b/>
                <w:bCs/>
                <w:color w:val="FFFFFF"/>
                <w:sz w:val="20"/>
                <w:szCs w:val="20"/>
              </w:rPr>
              <w:t>Value</w:t>
            </w:r>
          </w:p>
        </w:tc>
      </w:tr>
      <w:tr w:rsidR="00AA130A">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Years operating</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12</w:t>
            </w:r>
          </w:p>
        </w:tc>
      </w:tr>
      <w:tr w:rsidR="00AA130A">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Total transactions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24</w:t>
            </w:r>
          </w:p>
        </w:tc>
      </w:tr>
      <w:tr w:rsidR="00AA130A">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Total units acquired</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227</w:t>
            </w:r>
          </w:p>
        </w:tc>
      </w:tr>
      <w:tr w:rsidR="00AA130A">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Total cost basis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$103.0M</w:t>
            </w:r>
          </w:p>
        </w:tc>
      </w:tr>
      <w:tr w:rsidR="00AA130A">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Total equity invested by LPs</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$53.3M</w:t>
            </w:r>
          </w:p>
        </w:tc>
      </w:tr>
      <w:tr w:rsidR="00AA130A">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Realized + estimated profit</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$12.8M</w:t>
            </w:r>
          </w:p>
        </w:tc>
      </w:tr>
      <w:tr w:rsidR="00AA130A">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Average levered project return</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23.95%</w:t>
            </w:r>
          </w:p>
        </w:tc>
      </w:tr>
      <w:tr w:rsidR="00AA130A">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Loss disclosure</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1 paper-loss deal of 24, fully transparent</w:t>
            </w:r>
          </w:p>
        </w:tc>
      </w:tr>
    </w:tbl>
    <w:p w:rsidR="00AA130A" w:rsidRDefault="008561C6">
      <w:pPr>
        <w:pBdr>
          <w:bottom w:val="single" w:sz="12" w:space="4" w:color="A3D55D"/>
        </w:pBdr>
        <w:spacing w:before="240" w:after="160"/>
      </w:pPr>
      <w:r>
        <w:rPr>
          <w:rFonts w:ascii="Lato" w:eastAsia="Lato" w:hAnsi="Lato" w:cs="Lato"/>
          <w:b/>
          <w:bCs/>
          <w:sz w:val="32"/>
          <w:szCs w:val="32"/>
        </w:rPr>
        <w:t>Case study one</w:t>
      </w:r>
    </w:p>
    <w:p w:rsidR="00AA130A" w:rsidRDefault="008561C6">
      <w:pPr>
        <w:spacing w:before="180" w:after="80"/>
      </w:pPr>
      <w:r>
        <w:rPr>
          <w:rFonts w:ascii="Lato" w:eastAsia="Lato" w:hAnsi="Lato" w:cs="Lato"/>
          <w:b/>
          <w:bCs/>
          <w:color w:val="5C9627"/>
          <w:sz w:val="24"/>
          <w:szCs w:val="24"/>
        </w:rPr>
        <w:t>4921 Charlene Circle — Huntington Beach</w:t>
      </w:r>
    </w:p>
    <w:p w:rsidR="00AA130A" w:rsidRDefault="008561C6">
      <w:pPr>
        <w:spacing w:after="140"/>
      </w:pPr>
      <w:r>
        <w:rPr>
          <w:i/>
          <w:iCs/>
          <w:color w:val="8A8F94"/>
          <w:sz w:val="20"/>
          <w:szCs w:val="20"/>
        </w:rPr>
        <w:t>Sold · 6 units · Acquired December 2020 · Sold December 2022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A130A">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AA130A" w:rsidRDefault="008561C6">
            <w:pPr>
              <w:spacing w:after="80"/>
            </w:pPr>
            <w:r>
              <w:rPr>
                <w:rFonts w:ascii="Lato" w:eastAsia="Lato" w:hAnsi="Lato" w:cs="Lato"/>
                <w:b/>
                <w:bCs/>
                <w:sz w:val="18"/>
                <w:szCs w:val="18"/>
              </w:rPr>
              <w:t>Headline</w:t>
            </w:r>
          </w:p>
          <w:p w:rsidR="00AA130A" w:rsidRDefault="008561C6">
            <w:r>
              <w:rPr>
                <w:i/>
                <w:iCs/>
                <w:sz w:val="24"/>
                <w:szCs w:val="24"/>
              </w:rPr>
              <w:t>51.09% levered project return — 24-month cycle</w:t>
            </w:r>
          </w:p>
        </w:tc>
      </w:tr>
    </w:tbl>
    <w:p w:rsidR="00AA130A" w:rsidRDefault="00AA130A">
      <w:pPr>
        <w:spacing w:after="80"/>
      </w:pPr>
    </w:p>
    <w:p w:rsidR="00AA130A" w:rsidRDefault="008561C6">
      <w:pPr>
        <w:spacing w:after="140"/>
      </w:pPr>
      <w:r>
        <w:t>The sister building to VWC's 4931 Charlene Circle property — literally next door, same building footprint, shared driveway. VWC walked into this deal with a verbatim playbook: same neighborhood, same product, same renovation scope, same property manager. From acquisition to sale, exactly 24 months. Improvements were complete by June 2021 in time for the summer leasing season.</w:t>
      </w:r>
    </w:p>
    <w:p w:rsidR="00AA130A" w:rsidRDefault="008561C6">
      <w:pPr>
        <w:spacing w:before="180" w:after="80"/>
      </w:pPr>
      <w:r>
        <w:rPr>
          <w:rFonts w:ascii="Lato" w:eastAsia="Lato" w:hAnsi="Lato" w:cs="Lato"/>
          <w:b/>
          <w:bCs/>
          <w:color w:val="5C9627"/>
          <w:sz w:val="24"/>
          <w:szCs w:val="24"/>
        </w:rPr>
        <w:t>What this deal teaches</w:t>
      </w:r>
    </w:p>
    <w:p w:rsidR="00AA130A" w:rsidRDefault="008561C6">
      <w:pPr>
        <w:spacing w:after="140"/>
      </w:pPr>
      <w:r>
        <w:t>When you operate enough Southern California coastal multifamily, sister-property acquisitions become low-risk repeats of work you've already proven. Investors paid for an information advantage, not a market guess.</w:t>
      </w:r>
    </w:p>
    <w:p w:rsidR="00AA130A" w:rsidRDefault="008561C6">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$2,090,000 ($348K/unit)</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$173,950</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lastRenderedPageBreak/>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$2,513,350</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$1,365,000 (54% LTV)</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Sale price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$3,100,000 ($517K/unit)</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Realized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$586,650</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51.09%</w:t>
            </w:r>
          </w:p>
        </w:tc>
      </w:tr>
    </w:tbl>
    <w:p w:rsidR="00AA130A" w:rsidRDefault="00AA130A">
      <w:pPr>
        <w:spacing w:after="120"/>
      </w:pPr>
    </w:p>
    <w:p w:rsidR="00AA130A" w:rsidRDefault="008561C6">
      <w:pPr>
        <w:pBdr>
          <w:bottom w:val="single" w:sz="12" w:space="4" w:color="A3D55D"/>
        </w:pBdr>
        <w:spacing w:before="240" w:after="160"/>
      </w:pPr>
      <w:r>
        <w:rPr>
          <w:rFonts w:ascii="Lato" w:eastAsia="Lato" w:hAnsi="Lato" w:cs="Lato"/>
          <w:b/>
          <w:bCs/>
          <w:sz w:val="32"/>
          <w:szCs w:val="32"/>
        </w:rPr>
        <w:t>Case study two</w:t>
      </w:r>
    </w:p>
    <w:p w:rsidR="00AA130A" w:rsidRDefault="008561C6">
      <w:pPr>
        <w:spacing w:before="180" w:after="80"/>
      </w:pPr>
      <w:r>
        <w:rPr>
          <w:rFonts w:ascii="Lato" w:eastAsia="Lato" w:hAnsi="Lato" w:cs="Lato"/>
          <w:b/>
          <w:bCs/>
          <w:color w:val="5C9627"/>
          <w:sz w:val="24"/>
          <w:szCs w:val="24"/>
        </w:rPr>
        <w:t>330 W I Street — Encinitas (North San Diego County)</w:t>
      </w:r>
    </w:p>
    <w:p w:rsidR="00AA130A" w:rsidRDefault="008561C6">
      <w:pPr>
        <w:spacing w:after="140"/>
      </w:pPr>
      <w:r>
        <w:rPr>
          <w:i/>
          <w:iCs/>
          <w:color w:val="8A8F94"/>
          <w:sz w:val="20"/>
          <w:szCs w:val="20"/>
        </w:rPr>
        <w:t>In renovation · 21 units · Acquired September 2024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A130A">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AA130A" w:rsidRDefault="008561C6">
            <w:pPr>
              <w:spacing w:after="80"/>
            </w:pPr>
            <w:r>
              <w:rPr>
                <w:rFonts w:ascii="Lato" w:eastAsia="Lato" w:hAnsi="Lato" w:cs="Lato"/>
                <w:b/>
                <w:bCs/>
                <w:sz w:val="18"/>
                <w:szCs w:val="18"/>
              </w:rPr>
              <w:t>Headline</w:t>
            </w:r>
          </w:p>
          <w:p w:rsidR="00AA130A" w:rsidRDefault="008561C6">
            <w:r>
              <w:rPr>
                <w:i/>
                <w:iCs/>
                <w:sz w:val="24"/>
                <w:szCs w:val="24"/>
              </w:rPr>
              <w:t>Estimated 38.99% levered project return</w:t>
            </w:r>
          </w:p>
        </w:tc>
      </w:tr>
    </w:tbl>
    <w:p w:rsidR="00AA130A" w:rsidRDefault="00AA130A">
      <w:pPr>
        <w:spacing w:after="80"/>
      </w:pPr>
    </w:p>
    <w:p w:rsidR="00AA130A" w:rsidRDefault="008561C6">
      <w:pPr>
        <w:spacing w:after="140"/>
      </w:pPr>
      <w:r>
        <w:t>VWC's largest acquisition to date — at $13.15M, roughly 2.3x the size of the next-largest VWC transaction. Encinitas is one of the most supply-constrained coastal submarkets in San Diego County. A heavy reposition with $1.2M projected CapEx — the largest CapEx commitment in VWC's history.</w:t>
      </w:r>
    </w:p>
    <w:p w:rsidR="00AA130A" w:rsidRDefault="008561C6">
      <w:pPr>
        <w:spacing w:before="180" w:after="80"/>
      </w:pPr>
      <w:r>
        <w:rPr>
          <w:rFonts w:ascii="Lato" w:eastAsia="Lato" w:hAnsi="Lato" w:cs="Lato"/>
          <w:b/>
          <w:bCs/>
          <w:color w:val="5C9627"/>
          <w:sz w:val="24"/>
          <w:szCs w:val="24"/>
        </w:rPr>
        <w:t>What this deal teaches</w:t>
      </w:r>
    </w:p>
    <w:p w:rsidR="00AA130A" w:rsidRDefault="008561C6">
      <w:pPr>
        <w:spacing w:after="140"/>
      </w:pPr>
      <w:r>
        <w:t>A live demonstration that VWC's operating model — sub-50% LTV, value-add coastal multifamily, in-house construction — holds at scale. The framework didn't change as the firm grew. Only the deal size did.</w:t>
      </w:r>
    </w:p>
    <w:p w:rsidR="00AA130A" w:rsidRDefault="008561C6">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$13,150,000 ($626K/unit)</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CapEx (projected)</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$1,200,000</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Total cost (projected)</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$15,484,500</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$7,750,000 (50% LTV)</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$18,500,000 ($881K/unit)</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Estimated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$3,015,500</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38.99%</w:t>
            </w:r>
          </w:p>
        </w:tc>
      </w:tr>
    </w:tbl>
    <w:p w:rsidR="00AA130A" w:rsidRDefault="00AA130A">
      <w:pPr>
        <w:spacing w:after="120"/>
      </w:pPr>
    </w:p>
    <w:p w:rsidR="00AA130A" w:rsidRDefault="008561C6">
      <w:pPr>
        <w:pBdr>
          <w:bottom w:val="single" w:sz="12" w:space="4" w:color="A3D55D"/>
        </w:pBdr>
        <w:spacing w:before="240" w:after="160"/>
      </w:pPr>
      <w:r>
        <w:rPr>
          <w:rFonts w:ascii="Lato" w:eastAsia="Lato" w:hAnsi="Lato" w:cs="Lato"/>
          <w:b/>
          <w:bCs/>
          <w:sz w:val="32"/>
          <w:szCs w:val="32"/>
        </w:rPr>
        <w:lastRenderedPageBreak/>
        <w:t>What a Direct-deal investment looks like for a high-income professional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Minimum</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$100,000 (accredited only)</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Hold period</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24–30 months</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Tax mechanics</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K-1 with depreciation pass-through; step-up basis at death; 1031 chain on exit</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Geography</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Coastal Orange County and San Diego County</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Leverage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≤50% LTV after month 6</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Time required from you</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sz w:val="20"/>
                <w:szCs w:val="20"/>
              </w:rPr>
              <w:t>Sign subscription docs once; receive K-1 once a year</w:t>
            </w:r>
          </w:p>
        </w:tc>
      </w:tr>
      <w:tr w:rsidR="00AA130A">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AA130A" w:rsidRDefault="008561C6">
            <w:r>
              <w:rPr>
                <w:b/>
                <w:bCs/>
                <w:sz w:val="20"/>
                <w:szCs w:val="20"/>
              </w:rPr>
              <w:t>Reporting</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AA130A" w:rsidRDefault="008561C6">
            <w:r>
              <w:rPr>
                <w:sz w:val="20"/>
                <w:szCs w:val="20"/>
              </w:rPr>
              <w:t>AppFolio Investor portal + quarterly written update</w:t>
            </w:r>
          </w:p>
        </w:tc>
      </w:tr>
    </w:tbl>
    <w:p w:rsidR="00AA130A" w:rsidRDefault="00AA130A">
      <w:pPr>
        <w:spacing w:after="120"/>
      </w:pPr>
    </w:p>
    <w:p w:rsidR="00AA130A" w:rsidRDefault="008561C6">
      <w:pPr>
        <w:pBdr>
          <w:bottom w:val="single" w:sz="12" w:space="4" w:color="A3D55D"/>
        </w:pBdr>
        <w:spacing w:before="240" w:after="160"/>
      </w:pPr>
      <w:r>
        <w:rPr>
          <w:rFonts w:ascii="Lato" w:eastAsia="Lato" w:hAnsi="Lato" w:cs="Lato"/>
          <w:b/>
          <w:bCs/>
          <w:sz w:val="32"/>
          <w:szCs w:val="32"/>
        </w:rPr>
        <w:t>Our values, briefly</w:t>
      </w:r>
    </w:p>
    <w:p w:rsidR="00AA130A" w:rsidRDefault="008561C6">
      <w:pPr>
        <w:spacing w:after="140"/>
      </w:pPr>
      <w:r>
        <w:t>VisionWise Capital is governed by two pairs of values. The first pair — Entrepreneurial, Strategic Thinker, Resolute — describes how we work. The second pair — Faith and Clear Conscience — describes the standard we hold ourselves to.</w:t>
      </w:r>
    </w:p>
    <w:p w:rsidR="00AA130A" w:rsidRDefault="008561C6">
      <w:pPr>
        <w:pBdr>
          <w:left w:val="single" w:sz="18" w:space="12" w:color="A3D55D"/>
        </w:pBdr>
        <w:spacing w:before="120" w:after="120"/>
        <w:ind w:left="360"/>
      </w:pPr>
      <w:r>
        <w:rPr>
          <w:i/>
          <w:iCs/>
          <w:color w:val="666B70"/>
        </w:rPr>
        <w:t>Committed to investors over projects.</w:t>
      </w:r>
    </w:p>
    <w:p w:rsidR="00AA130A" w:rsidRDefault="008561C6">
      <w:pPr>
        <w:spacing w:after="140"/>
      </w:pPr>
      <w:r>
        <w:rPr>
          <w:i/>
          <w:iCs/>
          <w:color w:val="666B70"/>
        </w:rPr>
        <w:t>That is not a tagline. It is one of the four enumerated commitments under our Clear Conscience value, and it is what produced the leverage discipline that protected the portfolio through 2022–2024.</w:t>
      </w:r>
    </w:p>
    <w:p w:rsidR="00AA130A" w:rsidRDefault="008561C6">
      <w:pPr>
        <w:pBdr>
          <w:bottom w:val="single" w:sz="12" w:space="4" w:color="A3D55D"/>
        </w:pBdr>
        <w:spacing w:before="240" w:after="160"/>
      </w:pPr>
      <w:r>
        <w:rPr>
          <w:rFonts w:ascii="Lato" w:eastAsia="Lato" w:hAnsi="Lato" w:cs="Lato"/>
          <w:b/>
          <w:bCs/>
          <w:sz w:val="32"/>
          <w:szCs w:val="32"/>
        </w:rPr>
        <w:t>Next step</w:t>
      </w:r>
    </w:p>
    <w:p w:rsidR="00AA130A" w:rsidRDefault="008561C6">
      <w:pPr>
        <w:spacing w:after="140"/>
      </w:pPr>
      <w:r>
        <w:t>Please reply or call (949) 441-5580. If you would like to bring your CPA on the first call, we welcome it — most of our investors do.</w:t>
      </w:r>
    </w:p>
    <w:p w:rsidR="00AA130A" w:rsidRDefault="00AA130A">
      <w:pPr>
        <w:spacing w:after="120"/>
      </w:pPr>
    </w:p>
    <w:p w:rsidR="00AA130A" w:rsidRDefault="008561C6">
      <w:pPr>
        <w:spacing w:after="140"/>
      </w:pPr>
      <w:r>
        <w:rPr>
          <w:i/>
          <w:iCs/>
          <w:color w:val="666B70"/>
        </w:rPr>
        <w:t>The best returns in real estate go to the operator. The best after-tax returns often go to the limited partner. Our job is to make sure those are the same dollars.</w:t>
      </w:r>
    </w:p>
    <w:p w:rsidR="00AA130A" w:rsidRDefault="00AA130A">
      <w:pPr>
        <w:spacing w:after="120"/>
      </w:pPr>
    </w:p>
    <w:p w:rsidR="00AA130A" w:rsidRDefault="00AA130A">
      <w:pPr>
        <w:spacing w:after="120"/>
      </w:pPr>
    </w:p>
    <w:p w:rsidR="00AA130A" w:rsidRDefault="008561C6">
      <w:pPr>
        <w:spacing w:after="140"/>
      </w:pPr>
      <w:r>
        <w:rPr>
          <w:i/>
          <w:iCs/>
        </w:rPr>
        <w:t>With respect,</w:t>
      </w:r>
    </w:p>
    <w:p w:rsidR="00AA130A" w:rsidRDefault="00AA130A">
      <w:pPr>
        <w:spacing w:after="80"/>
      </w:pPr>
    </w:p>
    <w:p w:rsidR="00AA130A" w:rsidRDefault="008561C6">
      <w:pPr>
        <w:spacing w:after="140"/>
      </w:pPr>
      <w:r>
        <w:rPr>
          <w:rFonts w:ascii="Lato" w:eastAsia="Lato" w:hAnsi="Lato" w:cs="Lato"/>
          <w:b/>
          <w:bCs/>
          <w:sz w:val="26"/>
          <w:szCs w:val="26"/>
        </w:rPr>
        <w:t>Sanford D. Coggins</w:t>
      </w:r>
    </w:p>
    <w:p w:rsidR="00AA130A" w:rsidRDefault="008561C6">
      <w:pPr>
        <w:spacing w:after="140"/>
      </w:pPr>
      <w:r>
        <w:rPr>
          <w:i/>
          <w:iCs/>
          <w:color w:val="8A8F94"/>
          <w:sz w:val="20"/>
          <w:szCs w:val="20"/>
        </w:rPr>
        <w:t>CEO &amp; Founder, VisionWise Capital LLC</w:t>
      </w:r>
    </w:p>
    <w:p w:rsidR="00AA130A" w:rsidRDefault="008561C6">
      <w:pPr>
        <w:pageBreakBefore/>
        <w:spacing w:before="280" w:after="200"/>
      </w:pPr>
      <w:r>
        <w:rPr>
          <w:rFonts w:ascii="Lato" w:eastAsia="Lato" w:hAnsi="Lato" w:cs="Lato"/>
          <w:b/>
          <w:bCs/>
          <w:sz w:val="48"/>
          <w:szCs w:val="48"/>
        </w:rPr>
        <w:lastRenderedPageBreak/>
        <w:t>Important disclosures</w:t>
      </w:r>
    </w:p>
    <w:p w:rsidR="00AA130A" w:rsidRDefault="008561C6">
      <w:pPr>
        <w:spacing w:after="140"/>
      </w:pPr>
      <w:r>
        <w:rPr>
          <w:color w:val="666B70"/>
          <w:sz w:val="18"/>
          <w:szCs w:val="18"/>
        </w:rPr>
        <w:t>This communication is provided for informational purposes only and does not constitute an offer to sell or a solicitation of an offer to buy any securities. Any such offer or solicitation will be made only through definitive offering documents (including a private placement memorandum) provided to qualified investors. Past performance is not indicative of future results. Real estate investments involve risk, including loss of principal.</w:t>
      </w:r>
    </w:p>
    <w:p w:rsidR="00AA130A" w:rsidRDefault="00AA130A">
      <w:pPr>
        <w:spacing w:after="120"/>
      </w:pPr>
    </w:p>
    <w:p w:rsidR="00AA130A" w:rsidRDefault="008561C6">
      <w:pPr>
        <w:spacing w:after="140"/>
      </w:pPr>
      <w:r>
        <w:rPr>
          <w:i/>
          <w:iCs/>
          <w:color w:val="8A8F94"/>
          <w:sz w:val="18"/>
          <w:szCs w:val="18"/>
        </w:rPr>
        <w:t>This document is provided as an introduction to VisionWise Capital LLC. Specific deal economics, expected returns, and tax treatment for any particular offering will be detailed in the offering's Private Placement Memorandum and subscription documents.</w:t>
      </w:r>
    </w:p>
    <w:sectPr w:rsidR="00AA130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61C6" w:rsidRDefault="008561C6">
      <w:r>
        <w:separator/>
      </w:r>
    </w:p>
  </w:endnote>
  <w:endnote w:type="continuationSeparator" w:id="0">
    <w:p w:rsidR="008561C6" w:rsidRDefault="00856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auto"/>
    <w:pitch w:val="variable"/>
    <w:sig w:usb0="E00002FF" w:usb1="4000201B" w:usb2="00000028" w:usb3="00000000" w:csb0="0000019F" w:csb1="00000000"/>
  </w:font>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130A" w:rsidRDefault="008561C6">
    <w:pPr>
      <w:pBdr>
        <w:top w:val="single" w:sz="6" w:space="4" w:color="A3D55D"/>
      </w:pBdr>
      <w:spacing w:after="60"/>
      <w:jc w:val="center"/>
    </w:pPr>
    <w:r>
      <w:rPr>
        <w:color w:val="8A8F94"/>
        <w:sz w:val="16"/>
        <w:szCs w:val="16"/>
      </w:rPr>
      <w:t>VisionWise Capital LLC  ·  visionwisecapital.com  ·  (949) 441-5580</w:t>
    </w:r>
  </w:p>
  <w:p w:rsidR="00AA130A" w:rsidRDefault="008561C6">
    <w:pPr>
      <w:jc w:val="center"/>
    </w:pPr>
    <w:r>
      <w:rPr>
        <w:color w:val="8A8F94"/>
        <w:sz w:val="16"/>
        <w:szCs w:val="16"/>
      </w:rPr>
      <w:t xml:space="preserve">Page </w:t>
    </w:r>
    <w:r>
      <w:rPr>
        <w:color w:val="8A8F94"/>
        <w:sz w:val="16"/>
        <w:szCs w:val="16"/>
      </w:rPr>
      <w:fldChar w:fldCharType="begin"/>
    </w:r>
    <w:r>
      <w:rPr>
        <w:color w:val="8A8F94"/>
        <w:sz w:val="16"/>
        <w:szCs w:val="16"/>
      </w:rPr>
      <w:instrText>PAGE</w:instrText>
    </w:r>
    <w:r>
      <w:rPr>
        <w:color w:val="8A8F94"/>
        <w:sz w:val="16"/>
        <w:szCs w:val="16"/>
      </w:rPr>
      <w:fldChar w:fldCharType="separate"/>
    </w:r>
    <w:r w:rsidR="00B841E1">
      <w:rPr>
        <w:noProof/>
        <w:color w:val="8A8F94"/>
        <w:sz w:val="16"/>
        <w:szCs w:val="16"/>
      </w:rPr>
      <w:t>1</w:t>
    </w:r>
    <w:r>
      <w:rPr>
        <w:color w:val="8A8F94"/>
        <w:sz w:val="16"/>
        <w:szCs w:val="16"/>
      </w:rPr>
      <w:fldChar w:fldCharType="end"/>
    </w:r>
    <w:r>
      <w:rPr>
        <w:color w:val="8A8F94"/>
        <w:sz w:val="16"/>
        <w:szCs w:val="16"/>
      </w:rPr>
      <w:t xml:space="preserve">  of  </w:t>
    </w:r>
    <w:r>
      <w:rPr>
        <w:color w:val="8A8F94"/>
        <w:sz w:val="16"/>
        <w:szCs w:val="16"/>
      </w:rPr>
      <w:fldChar w:fldCharType="begin"/>
    </w:r>
    <w:r>
      <w:rPr>
        <w:color w:val="8A8F94"/>
        <w:sz w:val="16"/>
        <w:szCs w:val="16"/>
      </w:rPr>
      <w:instrText>NUMPAGES</w:instrText>
    </w:r>
    <w:r>
      <w:rPr>
        <w:color w:val="8A8F94"/>
        <w:sz w:val="16"/>
        <w:szCs w:val="16"/>
      </w:rPr>
      <w:fldChar w:fldCharType="separate"/>
    </w:r>
    <w:r w:rsidR="00B841E1">
      <w:rPr>
        <w:noProof/>
        <w:color w:val="8A8F94"/>
        <w:sz w:val="16"/>
        <w:szCs w:val="16"/>
      </w:rPr>
      <w:t>2</w:t>
    </w:r>
    <w:r>
      <w:rPr>
        <w:color w:val="8A8F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61C6" w:rsidRDefault="008561C6">
      <w:r>
        <w:separator/>
      </w:r>
    </w:p>
  </w:footnote>
  <w:footnote w:type="continuationSeparator" w:id="0">
    <w:p w:rsidR="008561C6" w:rsidRDefault="00856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130A" w:rsidRDefault="008561C6">
    <w:pPr>
      <w:jc w:val="right"/>
    </w:pPr>
    <w:r>
      <w:rPr>
        <w:i/>
        <w:iCs/>
        <w:color w:val="8A8F94"/>
        <w:sz w:val="16"/>
        <w:szCs w:val="16"/>
      </w:rPr>
      <w:t>VisionWise Capital  ·  Company Overview  ·  For High-Income Professionals Building Tax-Advantaged Wealth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87CA6"/>
    <w:multiLevelType w:val="hybridMultilevel"/>
    <w:tmpl w:val="5DCCD6A6"/>
    <w:lvl w:ilvl="0" w:tplc="1B6E9D58">
      <w:start w:val="1"/>
      <w:numFmt w:val="bullet"/>
      <w:lvlText w:val="●"/>
      <w:lvlJc w:val="left"/>
      <w:pPr>
        <w:ind w:left="720" w:hanging="360"/>
      </w:pPr>
    </w:lvl>
    <w:lvl w:ilvl="1" w:tplc="E82EC56A">
      <w:start w:val="1"/>
      <w:numFmt w:val="bullet"/>
      <w:lvlText w:val="○"/>
      <w:lvlJc w:val="left"/>
      <w:pPr>
        <w:ind w:left="1440" w:hanging="360"/>
      </w:pPr>
    </w:lvl>
    <w:lvl w:ilvl="2" w:tplc="01183420">
      <w:start w:val="1"/>
      <w:numFmt w:val="bullet"/>
      <w:lvlText w:val="■"/>
      <w:lvlJc w:val="left"/>
      <w:pPr>
        <w:ind w:left="2160" w:hanging="360"/>
      </w:pPr>
    </w:lvl>
    <w:lvl w:ilvl="3" w:tplc="0A96733E">
      <w:start w:val="1"/>
      <w:numFmt w:val="bullet"/>
      <w:lvlText w:val="●"/>
      <w:lvlJc w:val="left"/>
      <w:pPr>
        <w:ind w:left="2880" w:hanging="360"/>
      </w:pPr>
    </w:lvl>
    <w:lvl w:ilvl="4" w:tplc="A1F24A2E">
      <w:start w:val="1"/>
      <w:numFmt w:val="bullet"/>
      <w:lvlText w:val="○"/>
      <w:lvlJc w:val="left"/>
      <w:pPr>
        <w:ind w:left="3600" w:hanging="360"/>
      </w:pPr>
    </w:lvl>
    <w:lvl w:ilvl="5" w:tplc="3BEEA3C8">
      <w:start w:val="1"/>
      <w:numFmt w:val="bullet"/>
      <w:lvlText w:val="■"/>
      <w:lvlJc w:val="left"/>
      <w:pPr>
        <w:ind w:left="4320" w:hanging="360"/>
      </w:pPr>
    </w:lvl>
    <w:lvl w:ilvl="6" w:tplc="97C860AC">
      <w:start w:val="1"/>
      <w:numFmt w:val="bullet"/>
      <w:lvlText w:val="●"/>
      <w:lvlJc w:val="left"/>
      <w:pPr>
        <w:ind w:left="5040" w:hanging="360"/>
      </w:pPr>
    </w:lvl>
    <w:lvl w:ilvl="7" w:tplc="31B6792A">
      <w:start w:val="1"/>
      <w:numFmt w:val="bullet"/>
      <w:lvlText w:val="●"/>
      <w:lvlJc w:val="left"/>
      <w:pPr>
        <w:ind w:left="5760" w:hanging="360"/>
      </w:pPr>
    </w:lvl>
    <w:lvl w:ilvl="8" w:tplc="B6BE21FE">
      <w:start w:val="1"/>
      <w:numFmt w:val="bullet"/>
      <w:lvlText w:val="●"/>
      <w:lvlJc w:val="left"/>
      <w:pPr>
        <w:ind w:left="6480" w:hanging="360"/>
      </w:pPr>
    </w:lvl>
  </w:abstractNum>
  <w:abstractNum w:abstractNumId="1" w15:restartNumberingAfterBreak="0">
    <w:nsid w:val="267921CF"/>
    <w:multiLevelType w:val="hybridMultilevel"/>
    <w:tmpl w:val="70166D5E"/>
    <w:lvl w:ilvl="0" w:tplc="492C9EEC">
      <w:start w:val="1"/>
      <w:numFmt w:val="decimal"/>
      <w:lvlText w:val="%1."/>
      <w:lvlJc w:val="left"/>
      <w:pPr>
        <w:ind w:left="540" w:hanging="270"/>
      </w:pPr>
      <w:rPr>
        <w:rFonts w:ascii="Open Sans" w:eastAsia="Open Sans" w:hAnsi="Open Sans" w:cs="Open Sans"/>
        <w:b/>
        <w:bCs/>
        <w:color w:val="5C9627"/>
      </w:rPr>
    </w:lvl>
    <w:lvl w:ilvl="1" w:tplc="375886DC">
      <w:numFmt w:val="decimal"/>
      <w:lvlText w:val=""/>
      <w:lvlJc w:val="left"/>
    </w:lvl>
    <w:lvl w:ilvl="2" w:tplc="3274D7A8">
      <w:numFmt w:val="decimal"/>
      <w:lvlText w:val=""/>
      <w:lvlJc w:val="left"/>
    </w:lvl>
    <w:lvl w:ilvl="3" w:tplc="E362C6B8">
      <w:numFmt w:val="decimal"/>
      <w:lvlText w:val=""/>
      <w:lvlJc w:val="left"/>
    </w:lvl>
    <w:lvl w:ilvl="4" w:tplc="00261E5E">
      <w:numFmt w:val="decimal"/>
      <w:lvlText w:val=""/>
      <w:lvlJc w:val="left"/>
    </w:lvl>
    <w:lvl w:ilvl="5" w:tplc="7082A834">
      <w:numFmt w:val="decimal"/>
      <w:lvlText w:val=""/>
      <w:lvlJc w:val="left"/>
    </w:lvl>
    <w:lvl w:ilvl="6" w:tplc="71B6F268">
      <w:numFmt w:val="decimal"/>
      <w:lvlText w:val=""/>
      <w:lvlJc w:val="left"/>
    </w:lvl>
    <w:lvl w:ilvl="7" w:tplc="4622E7F0">
      <w:numFmt w:val="decimal"/>
      <w:lvlText w:val=""/>
      <w:lvlJc w:val="left"/>
    </w:lvl>
    <w:lvl w:ilvl="8" w:tplc="8A08BDF6">
      <w:numFmt w:val="decimal"/>
      <w:lvlText w:val=""/>
      <w:lvlJc w:val="left"/>
    </w:lvl>
  </w:abstractNum>
  <w:abstractNum w:abstractNumId="2" w15:restartNumberingAfterBreak="0">
    <w:nsid w:val="6C430B4F"/>
    <w:multiLevelType w:val="hybridMultilevel"/>
    <w:tmpl w:val="0E7C0CEE"/>
    <w:lvl w:ilvl="0" w:tplc="7D883DC4">
      <w:start w:val="1"/>
      <w:numFmt w:val="bullet"/>
      <w:lvlText w:val="•"/>
      <w:lvlJc w:val="left"/>
      <w:pPr>
        <w:ind w:left="540" w:hanging="270"/>
      </w:pPr>
      <w:rPr>
        <w:rFonts w:ascii="Open Sans" w:eastAsia="Open Sans" w:hAnsi="Open Sans" w:cs="Open Sans"/>
        <w:color w:val="5C9627"/>
      </w:rPr>
    </w:lvl>
    <w:lvl w:ilvl="1" w:tplc="13483792">
      <w:numFmt w:val="decimal"/>
      <w:lvlText w:val=""/>
      <w:lvlJc w:val="left"/>
    </w:lvl>
    <w:lvl w:ilvl="2" w:tplc="6AC0CB88">
      <w:numFmt w:val="decimal"/>
      <w:lvlText w:val=""/>
      <w:lvlJc w:val="left"/>
    </w:lvl>
    <w:lvl w:ilvl="3" w:tplc="C01A2B68">
      <w:numFmt w:val="decimal"/>
      <w:lvlText w:val=""/>
      <w:lvlJc w:val="left"/>
    </w:lvl>
    <w:lvl w:ilvl="4" w:tplc="A5763962">
      <w:numFmt w:val="decimal"/>
      <w:lvlText w:val=""/>
      <w:lvlJc w:val="left"/>
    </w:lvl>
    <w:lvl w:ilvl="5" w:tplc="F0209398">
      <w:numFmt w:val="decimal"/>
      <w:lvlText w:val=""/>
      <w:lvlJc w:val="left"/>
    </w:lvl>
    <w:lvl w:ilvl="6" w:tplc="CE10D6E4">
      <w:numFmt w:val="decimal"/>
      <w:lvlText w:val=""/>
      <w:lvlJc w:val="left"/>
    </w:lvl>
    <w:lvl w:ilvl="7" w:tplc="9198DDA2">
      <w:numFmt w:val="decimal"/>
      <w:lvlText w:val=""/>
      <w:lvlJc w:val="left"/>
    </w:lvl>
    <w:lvl w:ilvl="8" w:tplc="27CE7F2C">
      <w:numFmt w:val="decimal"/>
      <w:lvlText w:val=""/>
      <w:lvlJc w:val="left"/>
    </w:lvl>
  </w:abstractNum>
  <w:num w:numId="1" w16cid:durableId="421413807">
    <w:abstractNumId w:val="0"/>
    <w:lvlOverride w:ilvl="0">
      <w:startOverride w:val="1"/>
    </w:lvlOverride>
  </w:num>
  <w:num w:numId="2" w16cid:durableId="4435481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30A"/>
    <w:rsid w:val="00641079"/>
    <w:rsid w:val="008561C6"/>
    <w:rsid w:val="00AA130A"/>
    <w:rsid w:val="00B84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BF1ECE-0F8A-4637-8E66-633EC0C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0464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rFonts w:ascii="Lato" w:eastAsia="Lato" w:hAnsi="Lato" w:cs="Lato"/>
      <w:b/>
      <w:bCs/>
      <w:sz w:val="48"/>
      <w:szCs w:val="48"/>
    </w:rPr>
  </w:style>
  <w:style w:type="paragraph" w:styleId="Heading2">
    <w:name w:val="heading 2"/>
    <w:uiPriority w:val="9"/>
    <w:semiHidden/>
    <w:unhideWhenUsed/>
    <w:qFormat/>
    <w:pPr>
      <w:spacing w:before="240" w:after="160"/>
      <w:outlineLvl w:val="1"/>
    </w:pPr>
    <w:rPr>
      <w:rFonts w:ascii="Lato" w:eastAsia="Lato" w:hAnsi="Lato" w:cs="Lato"/>
      <w:b/>
      <w:bCs/>
      <w:sz w:val="32"/>
      <w:szCs w:val="32"/>
    </w:rPr>
  </w:style>
  <w:style w:type="paragraph" w:styleId="Heading3">
    <w:name w:val="heading 3"/>
    <w:uiPriority w:val="9"/>
    <w:semiHidden/>
    <w:unhideWhenUsed/>
    <w:qFormat/>
    <w:pPr>
      <w:spacing w:before="180" w:after="80"/>
      <w:outlineLvl w:val="2"/>
    </w:pPr>
    <w:rPr>
      <w:rFonts w:ascii="Lato" w:eastAsia="Lato" w:hAnsi="Lato" w:cs="Lato"/>
      <w:b/>
      <w:bCs/>
      <w:color w:val="5C96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1047</Words>
  <Characters>5949</Characters>
  <Application>Microsoft Office Word</Application>
  <DocSecurity>0</DocSecurity>
  <Lines>169</Lines>
  <Paragraphs>134</Paragraphs>
  <ScaleCrop>false</ScaleCrop>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VWC Company Overview — Tech / Medical High-Income Wealth Builder</dc:title>
  <dc:creator>VisionWise Capital</dc:creator>
  <dc:description>Persona-tailored company overview for For High-Income Professionals Building Tax-Advantaged Wealth</dc:description>
  <cp:lastModifiedBy>Ravi Jain</cp:lastModifiedBy>
  <cp:revision>2</cp:revision>
  <cp:lastPrinted>2026-04-25T21:24:00Z</cp:lastPrinted>
  <dcterms:created xsi:type="dcterms:W3CDTF">2026-04-25T21:24:00Z</dcterms:created>
  <dcterms:modified xsi:type="dcterms:W3CDTF">2026-04-25T21:24:00Z</dcterms:modified>
</cp:coreProperties>
</file>