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7E9" w:rsidRDefault="00926741">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9167E9" w:rsidRDefault="00926741">
      <w:pPr>
        <w:spacing w:after="800"/>
        <w:jc w:val="center"/>
      </w:pPr>
      <w:r>
        <w:rPr>
          <w:i/>
          <w:iCs/>
          <w:color w:val="8A8F94"/>
          <w:sz w:val="24"/>
          <w:szCs w:val="24"/>
        </w:rPr>
        <w:t>Multifamily Real Estate Investments</w:t>
      </w:r>
    </w:p>
    <w:p w:rsidR="009167E9" w:rsidRDefault="009167E9">
      <w:pPr>
        <w:pBdr>
          <w:bottom w:val="single" w:sz="18" w:space="1" w:color="A3D55D"/>
        </w:pBdr>
        <w:spacing w:before="200" w:after="800"/>
        <w:jc w:val="center"/>
      </w:pPr>
    </w:p>
    <w:p w:rsidR="009167E9" w:rsidRDefault="00926741">
      <w:pPr>
        <w:spacing w:after="240"/>
        <w:jc w:val="center"/>
      </w:pPr>
      <w:r>
        <w:rPr>
          <w:rFonts w:ascii="Lato" w:eastAsia="Lato" w:hAnsi="Lato" w:cs="Lato"/>
          <w:b/>
          <w:bCs/>
          <w:sz w:val="56"/>
          <w:szCs w:val="56"/>
        </w:rPr>
        <w:t>A company overview</w:t>
      </w:r>
    </w:p>
    <w:p w:rsidR="009167E9" w:rsidRDefault="00926741">
      <w:pPr>
        <w:spacing w:after="1200"/>
        <w:jc w:val="center"/>
      </w:pPr>
      <w:r>
        <w:rPr>
          <w:color w:val="666B70"/>
          <w:sz w:val="26"/>
          <w:szCs w:val="26"/>
        </w:rPr>
        <w:t>For Investors With New Capital From a Liquidity Event</w:t>
      </w:r>
    </w:p>
    <w:p w:rsidR="009167E9" w:rsidRDefault="00926741">
      <w:pPr>
        <w:spacing w:before="800" w:after="60"/>
        <w:jc w:val="center"/>
      </w:pPr>
      <w:r>
        <w:t>VisionWise Capital LLC  ·  Mission Viejo, California</w:t>
      </w:r>
    </w:p>
    <w:p w:rsidR="009167E9" w:rsidRDefault="00926741">
      <w:pPr>
        <w:spacing w:after="60"/>
        <w:jc w:val="center"/>
      </w:pPr>
      <w:r>
        <w:rPr>
          <w:color w:val="8A8F94"/>
          <w:sz w:val="20"/>
          <w:szCs w:val="20"/>
        </w:rPr>
        <w:t>(949) 441-5580  ·  info@visionwisecapital.com  ·  visionwisecapital.com</w:t>
      </w:r>
    </w:p>
    <w:p w:rsidR="009167E9" w:rsidRDefault="00926741">
      <w:pPr>
        <w:pageBreakBefore/>
        <w:spacing w:before="280" w:after="200"/>
      </w:pPr>
      <w:r>
        <w:rPr>
          <w:rFonts w:ascii="Lato" w:eastAsia="Lato" w:hAnsi="Lato" w:cs="Lato"/>
          <w:b/>
          <w:bCs/>
          <w:sz w:val="48"/>
          <w:szCs w:val="48"/>
        </w:rPr>
        <w:lastRenderedPageBreak/>
        <w:t>For the Investor Who Just Sold the Business, Inherited the Estate, or Vested the RSUs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7E9">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9167E9" w:rsidRDefault="00926741">
            <w:pPr>
              <w:spacing w:after="80"/>
            </w:pPr>
            <w:r>
              <w:rPr>
                <w:rFonts w:ascii="Lato" w:eastAsia="Lato" w:hAnsi="Lato" w:cs="Lato"/>
                <w:b/>
                <w:bCs/>
                <w:sz w:val="18"/>
                <w:szCs w:val="18"/>
              </w:rPr>
              <w:t>Why we are writing</w:t>
            </w:r>
          </w:p>
          <w:p w:rsidR="009167E9" w:rsidRDefault="00926741">
            <w:r>
              <w:rPr>
                <w:i/>
                <w:iCs/>
                <w:sz w:val="24"/>
                <w:szCs w:val="24"/>
              </w:rPr>
              <w:t>The hardest part of a liquidity event is not getting the money. It is deploying it without giving back the gain.</w:t>
            </w:r>
          </w:p>
        </w:tc>
      </w:tr>
    </w:tbl>
    <w:p w:rsidR="009167E9" w:rsidRDefault="009167E9">
      <w:pPr>
        <w:spacing w:after="120"/>
      </w:pPr>
    </w:p>
    <w:p w:rsidR="009167E9" w:rsidRDefault="00926741">
      <w:pPr>
        <w:spacing w:after="140"/>
      </w:pPr>
      <w:r>
        <w:t>VisionWise Capital is a 12-year-old private real estate investment firm in coastal Southern California. We work with investors who have meaningful new capital and a strong preference for not losing it. Our typical first-time investor brings their CPA and attorney to the second meeting. We welcome that. Our subscription documents look like documents you would receive from an institutional partner.</w:t>
      </w:r>
    </w:p>
    <w:p w:rsidR="009167E9" w:rsidRDefault="009167E9">
      <w:pPr>
        <w:spacing w:after="80"/>
      </w:pPr>
    </w:p>
    <w:p w:rsidR="009167E9" w:rsidRDefault="00926741">
      <w:pPr>
        <w:spacing w:after="140"/>
      </w:pPr>
      <w:r>
        <w:t>If you have recently received a meaningful liquidity distribution and are evaluating where to deploy it, we want a 60-minute first meeting with you and your advisors. We will walk through our underwriting framework, our worst deal, and our current pipeline. No pitch.</w:t>
      </w:r>
    </w:p>
    <w:p w:rsidR="009167E9" w:rsidRDefault="00926741">
      <w:pPr>
        <w:pBdr>
          <w:bottom w:val="single" w:sz="12" w:space="4" w:color="A3D55D"/>
        </w:pBdr>
        <w:spacing w:before="240" w:after="160"/>
      </w:pPr>
      <w:r>
        <w:rPr>
          <w:rFonts w:ascii="Lato" w:eastAsia="Lato" w:hAnsi="Lato" w:cs="Lato"/>
          <w:b/>
          <w:bCs/>
          <w:sz w:val="32"/>
          <w:szCs w:val="32"/>
        </w:rPr>
        <w:t>Why VisionWise Capital matters to you</w:t>
      </w:r>
    </w:p>
    <w:p w:rsidR="009167E9" w:rsidRDefault="00926741">
      <w:pPr>
        <w:pStyle w:val="ListParagraph"/>
        <w:numPr>
          <w:ilvl w:val="0"/>
          <w:numId w:val="2"/>
        </w:numPr>
        <w:spacing w:after="60"/>
      </w:pPr>
      <w:r>
        <w:t>Capital preservation first. We finance most deals at 50% LTV. The portfolio has weathered the 2022–2024 rate environment without forced sales.</w:t>
      </w:r>
    </w:p>
    <w:p w:rsidR="009167E9" w:rsidRDefault="00926741">
      <w:pPr>
        <w:pStyle w:val="ListParagraph"/>
        <w:numPr>
          <w:ilvl w:val="0"/>
          <w:numId w:val="2"/>
        </w:numPr>
        <w:spacing w:after="60"/>
      </w:pPr>
      <w:r>
        <w:t>Bring your advisors. CPAs and estate attorneys are part of every meeting we want to have. Their questions sharpen our answers.</w:t>
      </w:r>
    </w:p>
    <w:p w:rsidR="009167E9" w:rsidRDefault="00926741">
      <w:pPr>
        <w:pStyle w:val="ListParagraph"/>
        <w:numPr>
          <w:ilvl w:val="0"/>
          <w:numId w:val="2"/>
        </w:numPr>
        <w:spacing w:after="60"/>
      </w:pPr>
      <w:r>
        <w:t>We don't take all your money. The right amount of any one deal is rarely the largest amount. We will help you size sensibly.</w:t>
      </w:r>
    </w:p>
    <w:p w:rsidR="009167E9" w:rsidRDefault="00926741">
      <w:pPr>
        <w:pStyle w:val="ListParagraph"/>
        <w:numPr>
          <w:ilvl w:val="0"/>
          <w:numId w:val="2"/>
        </w:numPr>
        <w:spacing w:after="60"/>
      </w:pPr>
      <w:r>
        <w:t>We tell you about the loss first. 630 W Washington, San Diego, -33% paper loss, currently held. We discuss it before we discuss the wins.</w:t>
      </w:r>
    </w:p>
    <w:p w:rsidR="009167E9" w:rsidRDefault="00926741">
      <w:pPr>
        <w:pBdr>
          <w:bottom w:val="single" w:sz="12" w:space="4" w:color="A3D55D"/>
        </w:pBdr>
        <w:spacing w:before="240" w:after="160"/>
      </w:pPr>
      <w:r>
        <w:rPr>
          <w:rFonts w:ascii="Lato" w:eastAsia="Lato" w:hAnsi="Lato" w:cs="Lato"/>
          <w:b/>
          <w:bCs/>
          <w:sz w:val="32"/>
          <w:szCs w:val="32"/>
        </w:rPr>
        <w:t>How VisionWise Capital operates</w:t>
      </w:r>
    </w:p>
    <w:p w:rsidR="009167E9" w:rsidRDefault="00926741">
      <w:pPr>
        <w:spacing w:after="140"/>
      </w:pPr>
      <w:r>
        <w:t>We acquire under-managed multifamily property in coastal Southern California — five to seventy-five units, vintage 1940 to 2000 — and improve it to market standard. The playbook is three steps:</w:t>
      </w:r>
    </w:p>
    <w:p w:rsidR="009167E9" w:rsidRDefault="00926741">
      <w:pPr>
        <w:pStyle w:val="ListParagraph"/>
        <w:numPr>
          <w:ilvl w:val="0"/>
          <w:numId w:val="2"/>
        </w:numPr>
        <w:spacing w:after="60"/>
      </w:pPr>
      <w:r>
        <w:t>Acquire patiently. We track properties for months at our price, not the seller's. The completeness of our buyer package wins deals where the highest offer does not.</w:t>
      </w:r>
    </w:p>
    <w:p w:rsidR="009167E9" w:rsidRDefault="00926741">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9167E9" w:rsidRDefault="00926741">
      <w:pPr>
        <w:pStyle w:val="ListParagraph"/>
        <w:numPr>
          <w:ilvl w:val="0"/>
          <w:numId w:val="2"/>
        </w:numPr>
        <w:spacing w:after="60"/>
      </w:pPr>
      <w:r>
        <w:t>Move rents to market. Eighteen to twenty-four months later, the property is at market rents and operating at stabilized cap rates. We hold for income or sell for capital appreciation.</w:t>
      </w:r>
    </w:p>
    <w:p w:rsidR="009167E9" w:rsidRDefault="00926741">
      <w:pPr>
        <w:spacing w:after="140"/>
      </w:pPr>
      <w:r>
        <w:lastRenderedPageBreak/>
        <w:t>Across 24 deals over 12 years, the portfolio has produced 23.95% average levered project returns — including a -33% paper-loss deal we will discuss before any other deal.</w:t>
      </w:r>
    </w:p>
    <w:p w:rsidR="009167E9" w:rsidRDefault="00926741">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9167E9">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9167E9" w:rsidRDefault="00926741">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9167E9" w:rsidRDefault="00926741">
            <w:r>
              <w:rPr>
                <w:rFonts w:ascii="Lato" w:eastAsia="Lato" w:hAnsi="Lato" w:cs="Lato"/>
                <w:b/>
                <w:bCs/>
                <w:color w:val="FFFFFF"/>
                <w:sz w:val="20"/>
                <w:szCs w:val="20"/>
              </w:rPr>
              <w:t>Value</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12</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24</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227</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$103.0M</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$53.3M</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$12.8M</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23.95%</w:t>
            </w:r>
          </w:p>
        </w:tc>
      </w:tr>
      <w:tr w:rsidR="009167E9">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1 paper-loss deal of 24, fully transparent</w:t>
            </w:r>
          </w:p>
        </w:tc>
      </w:tr>
    </w:tbl>
    <w:p w:rsidR="009167E9" w:rsidRDefault="00926741">
      <w:pPr>
        <w:pBdr>
          <w:bottom w:val="single" w:sz="12" w:space="4" w:color="A3D55D"/>
        </w:pBdr>
        <w:spacing w:before="240" w:after="160"/>
      </w:pPr>
      <w:r>
        <w:rPr>
          <w:rFonts w:ascii="Lato" w:eastAsia="Lato" w:hAnsi="Lato" w:cs="Lato"/>
          <w:b/>
          <w:bCs/>
          <w:sz w:val="32"/>
          <w:szCs w:val="32"/>
        </w:rPr>
        <w:t>Case study one</w:t>
      </w:r>
    </w:p>
    <w:p w:rsidR="009167E9" w:rsidRDefault="00926741">
      <w:pPr>
        <w:spacing w:before="180" w:after="80"/>
      </w:pPr>
      <w:r>
        <w:rPr>
          <w:rFonts w:ascii="Lato" w:eastAsia="Lato" w:hAnsi="Lato" w:cs="Lato"/>
          <w:b/>
          <w:bCs/>
          <w:color w:val="5C9627"/>
          <w:sz w:val="24"/>
          <w:szCs w:val="24"/>
        </w:rPr>
        <w:t>374 Cypress Drive — Laguna Beach (Cypress Garden Apartments)</w:t>
      </w:r>
    </w:p>
    <w:p w:rsidR="009167E9" w:rsidRDefault="00926741">
      <w:pPr>
        <w:spacing w:after="140"/>
      </w:pPr>
      <w:r>
        <w:rPr>
          <w:i/>
          <w:iCs/>
          <w:color w:val="8A8F94"/>
          <w:sz w:val="20"/>
          <w:szCs w:val="20"/>
        </w:rPr>
        <w:t>Stabilized · 10 units · Acquired September 2020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7E9">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9167E9" w:rsidRDefault="00926741">
            <w:pPr>
              <w:spacing w:after="80"/>
            </w:pPr>
            <w:r>
              <w:rPr>
                <w:rFonts w:ascii="Lato" w:eastAsia="Lato" w:hAnsi="Lato" w:cs="Lato"/>
                <w:b/>
                <w:bCs/>
                <w:sz w:val="18"/>
                <w:szCs w:val="18"/>
              </w:rPr>
              <w:t>Headline</w:t>
            </w:r>
          </w:p>
          <w:p w:rsidR="009167E9" w:rsidRDefault="00926741">
            <w:r>
              <w:rPr>
                <w:i/>
                <w:iCs/>
                <w:sz w:val="24"/>
                <w:szCs w:val="24"/>
              </w:rPr>
              <w:t>Estimated 72.30% levered project return</w:t>
            </w:r>
          </w:p>
        </w:tc>
      </w:tr>
    </w:tbl>
    <w:p w:rsidR="009167E9" w:rsidRDefault="009167E9">
      <w:pPr>
        <w:spacing w:after="80"/>
      </w:pPr>
    </w:p>
    <w:p w:rsidR="009167E9" w:rsidRDefault="00926741">
      <w:pPr>
        <w:spacing w:after="140"/>
      </w:pPr>
      <w:r>
        <w:t>A 10-unit "trophy" coastal asset originally built in 1948 — 1,618 feet from Main Beach in Laguna. The acquisition is itself the story: VWC reviewed the property in April 2020 at $1M below the listing price. The team waited four months while the seller resisted. By July, terms had moved to VWC. The deal closed in September 2020 — VWC's first acquisition for Multifamily Fund IV.</w:t>
      </w:r>
    </w:p>
    <w:p w:rsidR="009167E9" w:rsidRDefault="00926741">
      <w:pPr>
        <w:spacing w:before="180" w:after="80"/>
      </w:pPr>
      <w:r>
        <w:rPr>
          <w:rFonts w:ascii="Lato" w:eastAsia="Lato" w:hAnsi="Lato" w:cs="Lato"/>
          <w:b/>
          <w:bCs/>
          <w:color w:val="5C9627"/>
          <w:sz w:val="24"/>
          <w:szCs w:val="24"/>
        </w:rPr>
        <w:t>What this deal teaches</w:t>
      </w:r>
    </w:p>
    <w:p w:rsidR="009167E9" w:rsidRDefault="00926741">
      <w:pPr>
        <w:spacing w:after="140"/>
      </w:pPr>
      <w:r>
        <w:t>Patience on entry, not optimism on exit. The broker cited two reasons VWC won the deal: the completeness of the buyer package, and VWC's existing ownership of two other Laguna Beach properties within walking distance. Submarket density compounds.</w:t>
      </w:r>
    </w:p>
    <w:p w:rsidR="009167E9" w:rsidRDefault="00926741">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$4,050,000 ($405K/unit)</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$391,749</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lastRenderedPageBreak/>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$5,014,749</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$2,822,000 (56% LTV)</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$6,600,000 ($660K/unit)</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$1,585,251</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72.30%</w:t>
            </w:r>
          </w:p>
        </w:tc>
      </w:tr>
    </w:tbl>
    <w:p w:rsidR="009167E9" w:rsidRDefault="009167E9">
      <w:pPr>
        <w:spacing w:after="120"/>
      </w:pPr>
    </w:p>
    <w:p w:rsidR="009167E9" w:rsidRDefault="00926741">
      <w:pPr>
        <w:pBdr>
          <w:bottom w:val="single" w:sz="12" w:space="4" w:color="A3D55D"/>
        </w:pBdr>
        <w:spacing w:before="240" w:after="160"/>
      </w:pPr>
      <w:r>
        <w:rPr>
          <w:rFonts w:ascii="Lato" w:eastAsia="Lato" w:hAnsi="Lato" w:cs="Lato"/>
          <w:b/>
          <w:bCs/>
          <w:sz w:val="32"/>
          <w:szCs w:val="32"/>
        </w:rPr>
        <w:t>Case study two</w:t>
      </w:r>
    </w:p>
    <w:p w:rsidR="009167E9" w:rsidRDefault="00926741">
      <w:pPr>
        <w:spacing w:before="180" w:after="80"/>
      </w:pPr>
      <w:r>
        <w:rPr>
          <w:rFonts w:ascii="Lato" w:eastAsia="Lato" w:hAnsi="Lato" w:cs="Lato"/>
          <w:b/>
          <w:bCs/>
          <w:color w:val="5C9627"/>
          <w:sz w:val="24"/>
          <w:szCs w:val="24"/>
        </w:rPr>
        <w:t>4921 Charlene Circle — Huntington Beach</w:t>
      </w:r>
    </w:p>
    <w:p w:rsidR="009167E9" w:rsidRDefault="00926741">
      <w:pPr>
        <w:spacing w:after="140"/>
      </w:pPr>
      <w:r>
        <w:rPr>
          <w:i/>
          <w:iCs/>
          <w:color w:val="8A8F94"/>
          <w:sz w:val="20"/>
          <w:szCs w:val="20"/>
        </w:rPr>
        <w:t>Sold · 6 units · Acquired December 2020 · Sold December 2022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9167E9">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9167E9" w:rsidRDefault="00926741">
            <w:pPr>
              <w:spacing w:after="80"/>
            </w:pPr>
            <w:r>
              <w:rPr>
                <w:rFonts w:ascii="Lato" w:eastAsia="Lato" w:hAnsi="Lato" w:cs="Lato"/>
                <w:b/>
                <w:bCs/>
                <w:sz w:val="18"/>
                <w:szCs w:val="18"/>
              </w:rPr>
              <w:t>Headline</w:t>
            </w:r>
          </w:p>
          <w:p w:rsidR="009167E9" w:rsidRDefault="00926741">
            <w:r>
              <w:rPr>
                <w:i/>
                <w:iCs/>
                <w:sz w:val="24"/>
                <w:szCs w:val="24"/>
              </w:rPr>
              <w:t>51.09% levered project return — 24-month cycle</w:t>
            </w:r>
          </w:p>
        </w:tc>
      </w:tr>
    </w:tbl>
    <w:p w:rsidR="009167E9" w:rsidRDefault="009167E9">
      <w:pPr>
        <w:spacing w:after="80"/>
      </w:pPr>
    </w:p>
    <w:p w:rsidR="009167E9" w:rsidRDefault="00926741">
      <w:pPr>
        <w:spacing w:after="140"/>
      </w:pPr>
      <w:r>
        <w:t>The sister building to VWC's 4931 Charlene Circle property — literally next door, same building footprint, shared driveway. VWC walked into this deal with a verbatim playbook: same neighborhood, same product, same renovation scope, same property manager. From acquisition to sale, exactly 24 months. Improvements were complete by June 2021 in time for the summer leasing season.</w:t>
      </w:r>
    </w:p>
    <w:p w:rsidR="009167E9" w:rsidRDefault="00926741">
      <w:pPr>
        <w:spacing w:before="180" w:after="80"/>
      </w:pPr>
      <w:r>
        <w:rPr>
          <w:rFonts w:ascii="Lato" w:eastAsia="Lato" w:hAnsi="Lato" w:cs="Lato"/>
          <w:b/>
          <w:bCs/>
          <w:color w:val="5C9627"/>
          <w:sz w:val="24"/>
          <w:szCs w:val="24"/>
        </w:rPr>
        <w:t>What this deal teaches</w:t>
      </w:r>
    </w:p>
    <w:p w:rsidR="009167E9" w:rsidRDefault="00926741">
      <w:pPr>
        <w:spacing w:after="140"/>
      </w:pPr>
      <w:r>
        <w:t>When you operate enough Southern California coastal multifamily, sister-property acquisitions become low-risk repeats of work you've already proven. Investors paid for an information advantage, not a market guess.</w:t>
      </w:r>
    </w:p>
    <w:p w:rsidR="009167E9" w:rsidRDefault="00926741">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$2,090,000 ($348K/unit)</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$173,950</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$2,513,350</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$1,365,000 (54% LTV)</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Sale price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$3,100,000 ($517K/unit)</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Realized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$586,650</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51.09%</w:t>
            </w:r>
          </w:p>
        </w:tc>
      </w:tr>
    </w:tbl>
    <w:p w:rsidR="009167E9" w:rsidRDefault="009167E9">
      <w:pPr>
        <w:spacing w:after="120"/>
      </w:pPr>
    </w:p>
    <w:p w:rsidR="009167E9" w:rsidRDefault="00926741">
      <w:pPr>
        <w:pBdr>
          <w:bottom w:val="single" w:sz="12" w:space="4" w:color="A3D55D"/>
        </w:pBdr>
        <w:spacing w:before="240" w:after="160"/>
      </w:pPr>
      <w:r>
        <w:rPr>
          <w:rFonts w:ascii="Lato" w:eastAsia="Lato" w:hAnsi="Lato" w:cs="Lato"/>
          <w:b/>
          <w:bCs/>
          <w:sz w:val="32"/>
          <w:szCs w:val="32"/>
        </w:rPr>
        <w:lastRenderedPageBreak/>
        <w:t>How a first investment with VWC works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Entry products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Direct-deal LLC ($100K min) for accredited investors; Sidecar ($500K min) is 1031-eligible</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Direct deal 24–30 months; Sidecar 18–24 months</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Coastal Orange County and San Diego County</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Leverage</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≤50% LTV after month 6</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Tax structure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K-1 with depreciation pass-through; step-up basis at death</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Recommended bucket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sz w:val="20"/>
                <w:szCs w:val="20"/>
              </w:rPr>
              <w:t>Allocate after reserving 12–18 months of living expenses outside this investment</w:t>
            </w:r>
          </w:p>
        </w:tc>
      </w:tr>
      <w:tr w:rsidR="009167E9">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9167E9" w:rsidRDefault="00926741">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9167E9" w:rsidRDefault="00926741">
            <w:r>
              <w:rPr>
                <w:sz w:val="20"/>
                <w:szCs w:val="20"/>
              </w:rPr>
              <w:t>AppFolio Investor portal + quarterly written update from Sanford Coggins</w:t>
            </w:r>
          </w:p>
        </w:tc>
      </w:tr>
    </w:tbl>
    <w:p w:rsidR="009167E9" w:rsidRDefault="009167E9">
      <w:pPr>
        <w:spacing w:after="120"/>
      </w:pPr>
    </w:p>
    <w:p w:rsidR="009167E9" w:rsidRDefault="00926741">
      <w:pPr>
        <w:pBdr>
          <w:bottom w:val="single" w:sz="12" w:space="4" w:color="A3D55D"/>
        </w:pBdr>
        <w:spacing w:before="240" w:after="160"/>
      </w:pPr>
      <w:r>
        <w:rPr>
          <w:rFonts w:ascii="Lato" w:eastAsia="Lato" w:hAnsi="Lato" w:cs="Lato"/>
          <w:b/>
          <w:bCs/>
          <w:sz w:val="32"/>
          <w:szCs w:val="32"/>
        </w:rPr>
        <w:t>Our values, briefly</w:t>
      </w:r>
    </w:p>
    <w:p w:rsidR="009167E9" w:rsidRDefault="00926741">
      <w:pPr>
        <w:spacing w:after="140"/>
      </w:pPr>
      <w:r>
        <w:t>VisionWise Capital is governed by two pairs of values. The first pair — Entrepreneurial, Strategic Thinker, Resolute — describes how we work. The second pair — Faith and Clear Conscience — describes the standard we hold ourselves to.</w:t>
      </w:r>
    </w:p>
    <w:p w:rsidR="009167E9" w:rsidRDefault="00926741">
      <w:pPr>
        <w:pBdr>
          <w:left w:val="single" w:sz="18" w:space="12" w:color="A3D55D"/>
        </w:pBdr>
        <w:spacing w:before="120" w:after="120"/>
        <w:ind w:left="360"/>
      </w:pPr>
      <w:r>
        <w:rPr>
          <w:i/>
          <w:iCs/>
          <w:color w:val="666B70"/>
        </w:rPr>
        <w:t>Committed to investors over projects.</w:t>
      </w:r>
    </w:p>
    <w:p w:rsidR="009167E9" w:rsidRDefault="00926741">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9167E9" w:rsidRDefault="00926741">
      <w:pPr>
        <w:pBdr>
          <w:bottom w:val="single" w:sz="12" w:space="4" w:color="A3D55D"/>
        </w:pBdr>
        <w:spacing w:before="240" w:after="160"/>
      </w:pPr>
      <w:r>
        <w:rPr>
          <w:rFonts w:ascii="Lato" w:eastAsia="Lato" w:hAnsi="Lato" w:cs="Lato"/>
          <w:b/>
          <w:bCs/>
          <w:sz w:val="32"/>
          <w:szCs w:val="32"/>
        </w:rPr>
        <w:t>Next step</w:t>
      </w:r>
    </w:p>
    <w:p w:rsidR="009167E9" w:rsidRDefault="00926741">
      <w:pPr>
        <w:spacing w:after="140"/>
      </w:pPr>
      <w:r>
        <w:t>Please reply to this letter or have your CPA or attorney introduce you. We are happy to send our worst-deal post-mortem and our subscription documents in advance — many investors prefer to read them before the meeting.</w:t>
      </w:r>
    </w:p>
    <w:p w:rsidR="009167E9" w:rsidRDefault="009167E9">
      <w:pPr>
        <w:spacing w:after="120"/>
      </w:pPr>
    </w:p>
    <w:p w:rsidR="009167E9" w:rsidRDefault="00926741">
      <w:pPr>
        <w:spacing w:after="140"/>
      </w:pPr>
      <w:r>
        <w:rPr>
          <w:i/>
          <w:iCs/>
          <w:color w:val="666B70"/>
        </w:rPr>
        <w:t>The most expensive thing a recently-liquid investor can do is move fast. We are happy to move at the pace your advisors set.</w:t>
      </w:r>
    </w:p>
    <w:p w:rsidR="009167E9" w:rsidRDefault="009167E9">
      <w:pPr>
        <w:spacing w:after="120"/>
      </w:pPr>
    </w:p>
    <w:p w:rsidR="009167E9" w:rsidRDefault="009167E9">
      <w:pPr>
        <w:spacing w:after="120"/>
      </w:pPr>
    </w:p>
    <w:p w:rsidR="009167E9" w:rsidRDefault="00926741">
      <w:pPr>
        <w:spacing w:after="140"/>
      </w:pPr>
      <w:r>
        <w:rPr>
          <w:i/>
          <w:iCs/>
        </w:rPr>
        <w:t>With respect,</w:t>
      </w:r>
    </w:p>
    <w:p w:rsidR="009167E9" w:rsidRDefault="009167E9">
      <w:pPr>
        <w:spacing w:after="80"/>
      </w:pPr>
    </w:p>
    <w:p w:rsidR="009167E9" w:rsidRDefault="00926741">
      <w:pPr>
        <w:spacing w:after="140"/>
      </w:pPr>
      <w:r>
        <w:rPr>
          <w:rFonts w:ascii="Lato" w:eastAsia="Lato" w:hAnsi="Lato" w:cs="Lato"/>
          <w:b/>
          <w:bCs/>
          <w:sz w:val="26"/>
          <w:szCs w:val="26"/>
        </w:rPr>
        <w:t>Sanford D. Coggins</w:t>
      </w:r>
    </w:p>
    <w:p w:rsidR="009167E9" w:rsidRDefault="00926741">
      <w:pPr>
        <w:spacing w:after="140"/>
      </w:pPr>
      <w:r>
        <w:rPr>
          <w:i/>
          <w:iCs/>
          <w:color w:val="8A8F94"/>
          <w:sz w:val="20"/>
          <w:szCs w:val="20"/>
        </w:rPr>
        <w:lastRenderedPageBreak/>
        <w:t>CEO &amp; Founder, VisionWise Capital LLC</w:t>
      </w:r>
    </w:p>
    <w:p w:rsidR="009167E9" w:rsidRDefault="00926741">
      <w:pPr>
        <w:pageBreakBefore/>
        <w:spacing w:before="280" w:after="200"/>
      </w:pPr>
      <w:r>
        <w:rPr>
          <w:rFonts w:ascii="Lato" w:eastAsia="Lato" w:hAnsi="Lato" w:cs="Lato"/>
          <w:b/>
          <w:bCs/>
          <w:sz w:val="48"/>
          <w:szCs w:val="48"/>
        </w:rPr>
        <w:lastRenderedPageBreak/>
        <w:t>Important disclosures</w:t>
      </w:r>
    </w:p>
    <w:p w:rsidR="009167E9" w:rsidRDefault="00926741">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9167E9" w:rsidRDefault="009167E9">
      <w:pPr>
        <w:spacing w:after="120"/>
      </w:pPr>
    </w:p>
    <w:p w:rsidR="009167E9" w:rsidRDefault="00926741">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9167E9">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6741" w:rsidRDefault="00926741">
      <w:r>
        <w:separator/>
      </w:r>
    </w:p>
  </w:endnote>
  <w:endnote w:type="continuationSeparator" w:id="0">
    <w:p w:rsidR="00926741" w:rsidRDefault="00926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67E9" w:rsidRDefault="00926741">
    <w:pPr>
      <w:pBdr>
        <w:top w:val="single" w:sz="6" w:space="4" w:color="A3D55D"/>
      </w:pBdr>
      <w:spacing w:after="60"/>
      <w:jc w:val="center"/>
    </w:pPr>
    <w:r>
      <w:rPr>
        <w:color w:val="8A8F94"/>
        <w:sz w:val="16"/>
        <w:szCs w:val="16"/>
      </w:rPr>
      <w:t>VisionWise Capital LLC  ·  visionwisecapital.com  ·  (949) 441-5580</w:t>
    </w:r>
  </w:p>
  <w:p w:rsidR="009167E9" w:rsidRDefault="00926741">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9E3FEA">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9E3FEA">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6741" w:rsidRDefault="00926741">
      <w:r>
        <w:separator/>
      </w:r>
    </w:p>
  </w:footnote>
  <w:footnote w:type="continuationSeparator" w:id="0">
    <w:p w:rsidR="00926741" w:rsidRDefault="00926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67E9" w:rsidRDefault="00926741">
    <w:pPr>
      <w:jc w:val="right"/>
    </w:pPr>
    <w:r>
      <w:rPr>
        <w:i/>
        <w:iCs/>
        <w:color w:val="8A8F94"/>
        <w:sz w:val="16"/>
        <w:szCs w:val="16"/>
      </w:rPr>
      <w:t>VisionWise Capital  ·  Company Overview  ·  For Investors With New Capital From a Liquidity Event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84CE1"/>
    <w:multiLevelType w:val="hybridMultilevel"/>
    <w:tmpl w:val="16BC73AC"/>
    <w:lvl w:ilvl="0" w:tplc="00C4D50E">
      <w:start w:val="1"/>
      <w:numFmt w:val="bullet"/>
      <w:lvlText w:val="●"/>
      <w:lvlJc w:val="left"/>
      <w:pPr>
        <w:ind w:left="720" w:hanging="360"/>
      </w:pPr>
    </w:lvl>
    <w:lvl w:ilvl="1" w:tplc="2F7C2B0C">
      <w:start w:val="1"/>
      <w:numFmt w:val="bullet"/>
      <w:lvlText w:val="○"/>
      <w:lvlJc w:val="left"/>
      <w:pPr>
        <w:ind w:left="1440" w:hanging="360"/>
      </w:pPr>
    </w:lvl>
    <w:lvl w:ilvl="2" w:tplc="F3A6F078">
      <w:start w:val="1"/>
      <w:numFmt w:val="bullet"/>
      <w:lvlText w:val="■"/>
      <w:lvlJc w:val="left"/>
      <w:pPr>
        <w:ind w:left="2160" w:hanging="360"/>
      </w:pPr>
    </w:lvl>
    <w:lvl w:ilvl="3" w:tplc="B4D61D82">
      <w:start w:val="1"/>
      <w:numFmt w:val="bullet"/>
      <w:lvlText w:val="●"/>
      <w:lvlJc w:val="left"/>
      <w:pPr>
        <w:ind w:left="2880" w:hanging="360"/>
      </w:pPr>
    </w:lvl>
    <w:lvl w:ilvl="4" w:tplc="881E5EC0">
      <w:start w:val="1"/>
      <w:numFmt w:val="bullet"/>
      <w:lvlText w:val="○"/>
      <w:lvlJc w:val="left"/>
      <w:pPr>
        <w:ind w:left="3600" w:hanging="360"/>
      </w:pPr>
    </w:lvl>
    <w:lvl w:ilvl="5" w:tplc="4A006384">
      <w:start w:val="1"/>
      <w:numFmt w:val="bullet"/>
      <w:lvlText w:val="■"/>
      <w:lvlJc w:val="left"/>
      <w:pPr>
        <w:ind w:left="4320" w:hanging="360"/>
      </w:pPr>
    </w:lvl>
    <w:lvl w:ilvl="6" w:tplc="3A346196">
      <w:start w:val="1"/>
      <w:numFmt w:val="bullet"/>
      <w:lvlText w:val="●"/>
      <w:lvlJc w:val="left"/>
      <w:pPr>
        <w:ind w:left="5040" w:hanging="360"/>
      </w:pPr>
    </w:lvl>
    <w:lvl w:ilvl="7" w:tplc="222A0E8E">
      <w:start w:val="1"/>
      <w:numFmt w:val="bullet"/>
      <w:lvlText w:val="●"/>
      <w:lvlJc w:val="left"/>
      <w:pPr>
        <w:ind w:left="5760" w:hanging="360"/>
      </w:pPr>
    </w:lvl>
    <w:lvl w:ilvl="8" w:tplc="C2C23DD4">
      <w:start w:val="1"/>
      <w:numFmt w:val="bullet"/>
      <w:lvlText w:val="●"/>
      <w:lvlJc w:val="left"/>
      <w:pPr>
        <w:ind w:left="6480" w:hanging="360"/>
      </w:pPr>
    </w:lvl>
  </w:abstractNum>
  <w:abstractNum w:abstractNumId="1" w15:restartNumberingAfterBreak="0">
    <w:nsid w:val="54AF77B9"/>
    <w:multiLevelType w:val="hybridMultilevel"/>
    <w:tmpl w:val="79448F68"/>
    <w:lvl w:ilvl="0" w:tplc="F1ECA848">
      <w:start w:val="1"/>
      <w:numFmt w:val="decimal"/>
      <w:lvlText w:val="%1."/>
      <w:lvlJc w:val="left"/>
      <w:pPr>
        <w:ind w:left="540" w:hanging="270"/>
      </w:pPr>
      <w:rPr>
        <w:rFonts w:ascii="Open Sans" w:eastAsia="Open Sans" w:hAnsi="Open Sans" w:cs="Open Sans"/>
        <w:b/>
        <w:bCs/>
        <w:color w:val="5C9627"/>
      </w:rPr>
    </w:lvl>
    <w:lvl w:ilvl="1" w:tplc="42D43F20">
      <w:numFmt w:val="decimal"/>
      <w:lvlText w:val=""/>
      <w:lvlJc w:val="left"/>
    </w:lvl>
    <w:lvl w:ilvl="2" w:tplc="2A9E76F8">
      <w:numFmt w:val="decimal"/>
      <w:lvlText w:val=""/>
      <w:lvlJc w:val="left"/>
    </w:lvl>
    <w:lvl w:ilvl="3" w:tplc="668C9740">
      <w:numFmt w:val="decimal"/>
      <w:lvlText w:val=""/>
      <w:lvlJc w:val="left"/>
    </w:lvl>
    <w:lvl w:ilvl="4" w:tplc="FD92545A">
      <w:numFmt w:val="decimal"/>
      <w:lvlText w:val=""/>
      <w:lvlJc w:val="left"/>
    </w:lvl>
    <w:lvl w:ilvl="5" w:tplc="61E03F3A">
      <w:numFmt w:val="decimal"/>
      <w:lvlText w:val=""/>
      <w:lvlJc w:val="left"/>
    </w:lvl>
    <w:lvl w:ilvl="6" w:tplc="FC444932">
      <w:numFmt w:val="decimal"/>
      <w:lvlText w:val=""/>
      <w:lvlJc w:val="left"/>
    </w:lvl>
    <w:lvl w:ilvl="7" w:tplc="7982F200">
      <w:numFmt w:val="decimal"/>
      <w:lvlText w:val=""/>
      <w:lvlJc w:val="left"/>
    </w:lvl>
    <w:lvl w:ilvl="8" w:tplc="70BA33A4">
      <w:numFmt w:val="decimal"/>
      <w:lvlText w:val=""/>
      <w:lvlJc w:val="left"/>
    </w:lvl>
  </w:abstractNum>
  <w:abstractNum w:abstractNumId="2" w15:restartNumberingAfterBreak="0">
    <w:nsid w:val="5694436F"/>
    <w:multiLevelType w:val="hybridMultilevel"/>
    <w:tmpl w:val="6ED2E116"/>
    <w:lvl w:ilvl="0" w:tplc="98E28C48">
      <w:start w:val="1"/>
      <w:numFmt w:val="bullet"/>
      <w:lvlText w:val="•"/>
      <w:lvlJc w:val="left"/>
      <w:pPr>
        <w:ind w:left="540" w:hanging="270"/>
      </w:pPr>
      <w:rPr>
        <w:rFonts w:ascii="Open Sans" w:eastAsia="Open Sans" w:hAnsi="Open Sans" w:cs="Open Sans"/>
        <w:color w:val="5C9627"/>
      </w:rPr>
    </w:lvl>
    <w:lvl w:ilvl="1" w:tplc="4A2CD87C">
      <w:numFmt w:val="decimal"/>
      <w:lvlText w:val=""/>
      <w:lvlJc w:val="left"/>
    </w:lvl>
    <w:lvl w:ilvl="2" w:tplc="A6F2146E">
      <w:numFmt w:val="decimal"/>
      <w:lvlText w:val=""/>
      <w:lvlJc w:val="left"/>
    </w:lvl>
    <w:lvl w:ilvl="3" w:tplc="151C2C1E">
      <w:numFmt w:val="decimal"/>
      <w:lvlText w:val=""/>
      <w:lvlJc w:val="left"/>
    </w:lvl>
    <w:lvl w:ilvl="4" w:tplc="F21828C6">
      <w:numFmt w:val="decimal"/>
      <w:lvlText w:val=""/>
      <w:lvlJc w:val="left"/>
    </w:lvl>
    <w:lvl w:ilvl="5" w:tplc="B4EEB122">
      <w:numFmt w:val="decimal"/>
      <w:lvlText w:val=""/>
      <w:lvlJc w:val="left"/>
    </w:lvl>
    <w:lvl w:ilvl="6" w:tplc="129EB290">
      <w:numFmt w:val="decimal"/>
      <w:lvlText w:val=""/>
      <w:lvlJc w:val="left"/>
    </w:lvl>
    <w:lvl w:ilvl="7" w:tplc="AA506674">
      <w:numFmt w:val="decimal"/>
      <w:lvlText w:val=""/>
      <w:lvlJc w:val="left"/>
    </w:lvl>
    <w:lvl w:ilvl="8" w:tplc="C6AADF18">
      <w:numFmt w:val="decimal"/>
      <w:lvlText w:val=""/>
      <w:lvlJc w:val="left"/>
    </w:lvl>
  </w:abstractNum>
  <w:num w:numId="1" w16cid:durableId="1489595600">
    <w:abstractNumId w:val="0"/>
    <w:lvlOverride w:ilvl="0">
      <w:startOverride w:val="1"/>
    </w:lvlOverride>
  </w:num>
  <w:num w:numId="2" w16cid:durableId="2468146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7E9"/>
    <w:rsid w:val="00641079"/>
    <w:rsid w:val="009167E9"/>
    <w:rsid w:val="00926741"/>
    <w:rsid w:val="009E3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1093</Words>
  <Characters>6061</Characters>
  <Application>Microsoft Office Word</Application>
  <DocSecurity>0</DocSecurity>
  <Lines>173</Lines>
  <Paragraphs>134</Paragraphs>
  <ScaleCrop>false</ScaleCrop>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Recently Liquid Investor</dc:title>
  <dc:creator>VisionWise Capital</dc:creator>
  <dc:description>Persona-tailored company overview for For Investors With New Capital From a Liquidity Event</dc:description>
  <cp:lastModifiedBy>Ravi Jain</cp:lastModifiedBy>
  <cp:revision>2</cp:revision>
  <cp:lastPrinted>2026-04-25T21:24:00Z</cp:lastPrinted>
  <dcterms:created xsi:type="dcterms:W3CDTF">2026-04-25T21:24:00Z</dcterms:created>
  <dcterms:modified xsi:type="dcterms:W3CDTF">2026-04-25T21:24:00Z</dcterms:modified>
</cp:coreProperties>
</file>