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Proxima Nova" w:hAnsi="Proxima Nova" w:cs="Proxima Nova" w:eastAsia="Proxima Nova"/>
          <w:b/>
          <w:i w:val="0"/>
          <w:color w:val="5C9627"/>
          <w:sz w:val="20"/>
        </w:rPr>
        <w:t>CASE STUDY  ·  CLOSED DEAL</w:t>
      </w:r>
    </w:p>
    <w:p>
      <w:pPr>
        <w:spacing w:after="240" w:before="0"/>
      </w:pPr>
      <w:r>
        <w:rPr>
          <w:rFonts w:ascii="Gill Sans MT Pro" w:hAnsi="Gill Sans MT Pro" w:cs="Gill Sans MT Pro" w:eastAsia="Gill Sans MT Pro"/>
          <w:b/>
          <w:i w:val="0"/>
          <w:color w:val="40464B"/>
          <w:sz w:val="56"/>
        </w:rPr>
        <w:t>[Property Name]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22"/>
        </w:rPr>
        <w:t>[City, State]  ·  [Asset class]  ·  [# units]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before="1600"/>
              <w:jc w:val="center"/>
            </w:pPr>
            <w:r>
              <w:rPr>
                <w:rFonts w:ascii="Proxima Nova" w:hAnsi="Proxima Nova" w:cs="Proxima Nova" w:eastAsia="Proxima Nova"/>
                <w:b w:val="0"/>
                <w:i/>
                <w:color w:val="8A8F94"/>
                <w:sz w:val="20"/>
              </w:rPr>
              <w:t>[ Insert hero photo — before/after side-by-side preferred ]</w:t>
            </w:r>
          </w:p>
        </w:tc>
      </w:tr>
    </w:tbl>
    <w:p>
      <w:pPr>
        <w:spacing w:after="28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Snapshot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Acquired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[MM/YYYY]</w:t>
            </w:r>
          </w:p>
        </w:tc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Sold / refi'd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[MM/YYYY]</w:t>
            </w:r>
          </w:p>
        </w:tc>
      </w:tr>
      <w:tr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Purchase price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$[##.#]M</w:t>
            </w:r>
          </w:p>
        </w:tc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Exit / value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$[##.#]M</w:t>
            </w:r>
          </w:p>
        </w:tc>
      </w:tr>
      <w:tr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Hold period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[##] months</w:t>
            </w:r>
          </w:p>
        </w:tc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Total equity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$[##.#]M</w:t>
            </w:r>
          </w:p>
        </w:tc>
      </w:tr>
      <w:tr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Investor IRR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[##.#]%</w:t>
            </w:r>
          </w:p>
        </w:tc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Equity multiple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[#.##]x</w:t>
            </w:r>
          </w:p>
        </w:tc>
      </w:tr>
    </w:tbl>
    <w:p>
      <w:pPr>
        <w:spacing w:after="28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The thesis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[Why we bought it. 2–3 sentences. What was mispriced, mismanaged, or undervalued — and why we believed our team could fix it.]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What we did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[Operational change — e.g., re-tenanted, repositioned units, stabilized expenses.]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[Capital improvement — e.g., renovated kitchens, exterior, common areas.]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[Financial structure — e.g., refinanced at month [##], distributed [##]% of equity.]</w:t>
      </w:r>
    </w:p>
    <w:p>
      <w:pPr>
        <w:spacing w:after="28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The result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[Plain-language summary of returns and what investors actually received. Reference the equity multiple and IRR in dollar terms — "$100K invested became $[##]K" — so a non-finance reader gets it instantly.]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Investor reflection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/>
          <w:color w:val="40464B"/>
          <w:sz w:val="22"/>
        </w:rPr>
        <w:t>“[Pull a real, named-or-anonymized investor quote. Keep it short and specific.]”</w:t>
      </w:r>
    </w:p>
    <w:p>
      <w:pPr>
        <w:spacing w:after="36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20"/>
        </w:rPr>
        <w:t>— [Investor Name or “LP since 2018”]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16"/>
        </w:rPr>
        <w:t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xima Nova" w:hAnsi="Proxima Nova"/>
      <w:color w:val="40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