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val="clear" w:color="auto" w:fill="40464B"/>
          </w:tcPr>
          <w:p>
            <w:pPr>
              <w:spacing w:before="720" w:after="0"/>
            </w:pPr>
            <w:r/>
            <w:r>
              <w:rPr>
                <w:rFonts w:ascii="Gill Sans MT Pro" w:hAnsi="Gill Sans MT Pro" w:cs="Gill Sans MT Pro" w:eastAsia="Gill Sans MT Pro"/>
                <w:b/>
                <w:i w:val="0"/>
                <w:color w:val="A3D55D"/>
                <w:sz w:val="22"/>
              </w:rPr>
              <w:t>Quarterly Investor Report</w:t>
            </w:r>
          </w:p>
          <w:p>
            <w:pPr>
              <w:spacing w:after="0"/>
            </w:pPr>
            <w:r>
              <w:rPr>
                <w:rFonts w:ascii="Gill Sans MT Pro" w:hAnsi="Gill Sans MT Pro" w:cs="Gill Sans MT Pro" w:eastAsia="Gill Sans MT Pro"/>
                <w:b/>
                <w:i w:val="0"/>
                <w:color w:val="FFFFFF"/>
                <w:sz w:val="72"/>
              </w:rPr>
              <w:t>[Q# YYYY]</w:t>
            </w:r>
          </w:p>
          <w:p>
            <w:pPr>
              <w:spacing w:after="720"/>
            </w:pPr>
            <w:r>
              <w:rPr>
                <w:rFonts w:ascii="Proxima Nova" w:hAnsi="Proxima Nova" w:cs="Proxima Nova" w:eastAsia="Proxima Nova"/>
                <w:b w:val="0"/>
                <w:i w:val="0"/>
                <w:color w:val="FFFFFF"/>
                <w:sz w:val="22"/>
              </w:rPr>
              <w:t>VisionWise Capital  ·  Portfolio Update</w:t>
            </w:r>
          </w:p>
        </w:tc>
      </w:tr>
    </w:tbl>
    <w:p>
      <w:pPr>
        <w:spacing w:after="120" w:before="0"/>
      </w:pPr>
    </w:p>
    <w:p>
      <w:r>
        <w:drawing>
          <wp:inline xmlns:a="http://schemas.openxmlformats.org/drawingml/2006/main" xmlns:pic="http://schemas.openxmlformats.org/drawingml/2006/picture">
            <wp:extent cx="1463040" cy="240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g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4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</w:pP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A note from Sanford</w:t>
      </w:r>
    </w:p>
    <w:p>
      <w:pPr>
        <w:spacing w:after="4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[2–4 paragraph letter. Cover the quarter honestly: what worked, what didn't, what changed in our view of the market, and what we're paying attention to next quarter. Keep it plain and personal — investors are reading this for your judgment, not the numbers (those are below).]</w:t>
      </w: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Portfolio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56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18"/>
              </w:rPr>
              <w:t>Active deals</w:t>
            </w:r>
          </w:p>
        </w:tc>
        <w:tc>
          <w:tcPr>
            <w:tcW w:type="dxa" w:w="2556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18"/>
              </w:rPr>
              <w:t>Total AUM</w:t>
            </w:r>
          </w:p>
        </w:tc>
        <w:tc>
          <w:tcPr>
            <w:tcW w:type="dxa" w:w="2556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18"/>
              </w:rPr>
              <w:t>Distributions YTD</w:t>
            </w:r>
          </w:p>
        </w:tc>
        <w:tc>
          <w:tcPr>
            <w:tcW w:type="dxa" w:w="2556"/>
            <w:vAlign w:val="center"/>
            <w:shd w:val="clear" w:color="auto" w:fill="F7F7F7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18"/>
              </w:rPr>
              <w:t>Avg. cash-on-cash</w:t>
            </w:r>
          </w:p>
        </w:tc>
      </w:tr>
      <w:tr>
        <w:tc>
          <w:tcPr>
            <w:tcW w:type="dxa" w:w="2556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5C9627"/>
                <w:sz w:val="36"/>
              </w:rPr>
              <w:t>[#]</w:t>
            </w:r>
          </w:p>
        </w:tc>
        <w:tc>
          <w:tcPr>
            <w:tcW w:type="dxa" w:w="2556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5C9627"/>
                <w:sz w:val="36"/>
              </w:rPr>
              <w:t>$[##.#]M</w:t>
            </w:r>
          </w:p>
        </w:tc>
        <w:tc>
          <w:tcPr>
            <w:tcW w:type="dxa" w:w="2556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5C9627"/>
                <w:sz w:val="36"/>
              </w:rPr>
              <w:t>$[###]K</w:t>
            </w:r>
          </w:p>
        </w:tc>
        <w:tc>
          <w:tcPr>
            <w:tcW w:type="dxa" w:w="2556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5C9627"/>
                <w:sz w:val="36"/>
              </w:rPr>
              <w:t>[#.#]%</w:t>
            </w:r>
          </w:p>
        </w:tc>
      </w:tr>
    </w:tbl>
    <w:p>
      <w:pPr>
        <w:spacing w:after="280" w:before="0"/>
      </w:pP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Per-deal updates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val="clear" w:color="auto" w:fill="40464B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FFFFFF"/>
                <w:sz w:val="18"/>
              </w:rPr>
              <w:t>Deal</w:t>
            </w:r>
          </w:p>
        </w:tc>
        <w:tc>
          <w:tcPr>
            <w:tcW w:type="dxa" w:w="2045"/>
            <w:vAlign w:val="center"/>
            <w:shd w:val="clear" w:color="auto" w:fill="40464B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045"/>
            <w:vAlign w:val="center"/>
            <w:shd w:val="clear" w:color="auto" w:fill="40464B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FFFFFF"/>
                <w:sz w:val="18"/>
              </w:rPr>
              <w:t>Hold to date</w:t>
            </w:r>
          </w:p>
        </w:tc>
        <w:tc>
          <w:tcPr>
            <w:tcW w:type="dxa" w:w="2045"/>
            <w:vAlign w:val="center"/>
            <w:shd w:val="clear" w:color="auto" w:fill="40464B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FFFFFF"/>
                <w:sz w:val="18"/>
              </w:rPr>
              <w:t>Distributions QTD</w:t>
            </w:r>
          </w:p>
        </w:tc>
        <w:tc>
          <w:tcPr>
            <w:tcW w:type="dxa" w:w="2045"/>
            <w:vAlign w:val="center"/>
            <w:shd w:val="clear" w:color="auto" w:fill="40464B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45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[Property Name]</w:t>
            </w:r>
          </w:p>
        </w:tc>
        <w:tc>
          <w:tcPr>
            <w:tcW w:type="dxa" w:w="2045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[On plan]</w:t>
            </w:r>
          </w:p>
        </w:tc>
        <w:tc>
          <w:tcPr>
            <w:tcW w:type="dxa" w:w="2045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[##] mo</w:t>
            </w:r>
          </w:p>
        </w:tc>
        <w:tc>
          <w:tcPr>
            <w:tcW w:type="dxa" w:w="2045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$[##]K</w:t>
            </w:r>
          </w:p>
        </w:tc>
        <w:tc>
          <w:tcPr>
            <w:tcW w:type="dxa" w:w="2045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[1-line update]</w:t>
            </w:r>
          </w:p>
        </w:tc>
      </w:tr>
      <w:tr>
        <w:tc>
          <w:tcPr>
            <w:tcW w:type="dxa" w:w="2045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[Property Name]</w:t>
            </w:r>
          </w:p>
        </w:tc>
        <w:tc>
          <w:tcPr>
            <w:tcW w:type="dxa" w:w="2045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[Refinance]</w:t>
            </w:r>
          </w:p>
        </w:tc>
        <w:tc>
          <w:tcPr>
            <w:tcW w:type="dxa" w:w="2045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[##] mo</w:t>
            </w:r>
          </w:p>
        </w:tc>
        <w:tc>
          <w:tcPr>
            <w:tcW w:type="dxa" w:w="2045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$[##]K</w:t>
            </w:r>
          </w:p>
        </w:tc>
        <w:tc>
          <w:tcPr>
            <w:tcW w:type="dxa" w:w="2045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[1-line update]</w:t>
            </w:r>
          </w:p>
        </w:tc>
      </w:tr>
      <w:tr>
        <w:tc>
          <w:tcPr>
            <w:tcW w:type="dxa" w:w="2045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[Property Name]</w:t>
            </w:r>
          </w:p>
        </w:tc>
        <w:tc>
          <w:tcPr>
            <w:tcW w:type="dxa" w:w="2045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[Lease-up]</w:t>
            </w:r>
          </w:p>
        </w:tc>
        <w:tc>
          <w:tcPr>
            <w:tcW w:type="dxa" w:w="2045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[##] mo</w:t>
            </w:r>
          </w:p>
        </w:tc>
        <w:tc>
          <w:tcPr>
            <w:tcW w:type="dxa" w:w="2045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$[##]K</w:t>
            </w:r>
          </w:p>
        </w:tc>
        <w:tc>
          <w:tcPr>
            <w:tcW w:type="dxa" w:w="2045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[1-line update]</w:t>
            </w:r>
          </w:p>
        </w:tc>
      </w:tr>
    </w:tbl>
    <w:p>
      <w:pPr>
        <w:spacing w:after="280" w:before="0"/>
      </w:pP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Pipeline &amp; outlook</w:t>
      </w:r>
    </w:p>
    <w:p>
      <w:pPr>
        <w:spacing w:after="36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[2–3 paragraphs on what's under contract, what's in diligence, and the macro or local-market shifts you're tracking. End with what investors should expect next quarter and any capital calls.]</w:t>
      </w: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Important disclosures</w:t>
      </w:r>
    </w:p>
    <w:p>
      <w:pPr>
        <w:spacing w:after="0" w:before="0"/>
      </w:pPr>
      <w:r>
        <w:rPr>
          <w:rFonts w:ascii="Proxima Nova" w:hAnsi="Proxima Nova" w:cs="Proxima Nova" w:eastAsia="Proxima Nova"/>
          <w:b w:val="0"/>
          <w:i w:val="0"/>
          <w:color w:val="8A8F94"/>
          <w:sz w:val="16"/>
        </w:rPr>
        <w:t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oxima Nova" w:hAnsi="Proxima Nova"/>
      <w:color w:val="404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