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7200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270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rg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270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vAlign w:val="center"/>
          </w:tcPr>
          <w:p>
            <w:pPr>
              <w:spacing w:after="0"/>
              <w:jc w:val="right"/>
            </w:pPr>
            <w:r>
              <w:rPr>
                <w:rFonts w:ascii="Proxima Nova" w:hAnsi="Proxima Nova" w:cs="Proxima Nova" w:eastAsia="Proxima Nova"/>
                <w:b/>
                <w:i w:val="0"/>
                <w:color w:val="5C9627"/>
                <w:sz w:val="20"/>
              </w:rPr>
              <w:t>INVESTMENT OPPORTUNITY</w:t>
            </w:r>
          </w:p>
        </w:tc>
      </w:tr>
    </w:tbl>
    <w:p>
      <w:pPr>
        <w:spacing w:after="120" w:before="0"/>
      </w:pPr>
    </w:p>
    <w:p>
      <w:pPr>
        <w:spacing w:after="240" w:before="0"/>
      </w:pPr>
      <w:r>
        <w:rPr>
          <w:rFonts w:ascii="Gill Sans MT Pro" w:hAnsi="Gill Sans MT Pro" w:cs="Gill Sans MT Pro" w:eastAsia="Gill Sans MT Pro"/>
          <w:b/>
          <w:i w:val="0"/>
          <w:color w:val="40464B"/>
          <w:sz w:val="56"/>
        </w:rPr>
        <w:t>[Property Name]</w:t>
      </w:r>
    </w:p>
    <w:p>
      <w:pPr>
        <w:spacing w:after="200" w:before="0"/>
      </w:pPr>
      <w:r>
        <w:rPr>
          <w:rFonts w:ascii="Proxima Nova" w:hAnsi="Proxima Nova" w:cs="Proxima Nova" w:eastAsia="Proxima Nova"/>
          <w:b w:val="0"/>
          <w:i w:val="0"/>
          <w:color w:val="8A8F94"/>
          <w:sz w:val="24"/>
        </w:rPr>
        <w:t>[Asset class]  ·  [City, State]  ·  [# units]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512"/>
            <w:shd w:val="clear" w:color="auto" w:fill="F7F7F7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before="1200" w:after="1200"/>
              <w:jc w:val="center"/>
            </w:pPr>
            <w:r>
              <w:rPr>
                <w:rFonts w:ascii="Proxima Nova" w:hAnsi="Proxima Nova" w:cs="Proxima Nova" w:eastAsia="Proxima Nova"/>
                <w:b w:val="0"/>
                <w:i/>
                <w:color w:val="8A8F94"/>
                <w:sz w:val="20"/>
              </w:rPr>
              <w:t>[ Insert property photo ]</w:t>
            </w:r>
          </w:p>
        </w:tc>
      </w:tr>
    </w:tbl>
    <w:p>
      <w:pPr>
        <w:spacing w:after="24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val="clear" w:color="auto" w:fill="F7F7F7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18"/>
              </w:rPr>
              <w:t>Target IRR</w:t>
            </w:r>
          </w:p>
        </w:tc>
        <w:tc>
          <w:tcPr>
            <w:tcW w:type="dxa" w:w="2628"/>
            <w:vAlign w:val="center"/>
            <w:shd w:val="clear" w:color="auto" w:fill="F7F7F7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18"/>
              </w:rPr>
              <w:t>Avg. Cash-on-Cash</w:t>
            </w:r>
          </w:p>
        </w:tc>
        <w:tc>
          <w:tcPr>
            <w:tcW w:type="dxa" w:w="2628"/>
            <w:vAlign w:val="center"/>
            <w:shd w:val="clear" w:color="auto" w:fill="F7F7F7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18"/>
              </w:rPr>
              <w:t>Hold Period</w:t>
            </w:r>
          </w:p>
        </w:tc>
        <w:tc>
          <w:tcPr>
            <w:tcW w:type="dxa" w:w="2628"/>
            <w:vAlign w:val="center"/>
            <w:shd w:val="clear" w:color="auto" w:fill="F7F7F7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18"/>
              </w:rPr>
              <w:t>Min. Investment</w:t>
            </w:r>
          </w:p>
        </w:tc>
      </w:tr>
      <w:tr>
        <w:tc>
          <w:tcPr>
            <w:tcW w:type="dxa" w:w="2628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5C9627"/>
                <w:sz w:val="36"/>
              </w:rPr>
              <w:t>[##]%</w:t>
            </w:r>
          </w:p>
        </w:tc>
        <w:tc>
          <w:tcPr>
            <w:tcW w:type="dxa" w:w="2628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5C9627"/>
                <w:sz w:val="36"/>
              </w:rPr>
              <w:t>[#.#]%</w:t>
            </w:r>
          </w:p>
        </w:tc>
        <w:tc>
          <w:tcPr>
            <w:tcW w:type="dxa" w:w="2628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5C9627"/>
                <w:sz w:val="36"/>
              </w:rPr>
              <w:t>[#] yrs</w:t>
            </w:r>
          </w:p>
        </w:tc>
        <w:tc>
          <w:tcPr>
            <w:tcW w:type="dxa" w:w="2628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5C9627"/>
                <w:sz w:val="36"/>
              </w:rPr>
              <w:t>$[###]K</w:t>
            </w:r>
          </w:p>
        </w:tc>
      </w:tr>
    </w:tbl>
    <w:p>
      <w:pPr>
        <w:spacing w:after="280" w:before="0"/>
      </w:pPr>
    </w:p>
    <w:p>
      <w:pPr>
        <w:spacing w:after="200" w:before="0"/>
        <w:pBdr>
          <w:bottom w:val="single" w:sz="16" w:space="1" w:color="A3D55D"/>
        </w:pBdr>
      </w:pPr>
      <w:r>
        <w:rPr>
          <w:rFonts w:ascii="Gill Sans MT Pro" w:hAnsi="Gill Sans MT Pro" w:cs="Gill Sans MT Pro" w:eastAsia="Gill Sans MT Pro"/>
          <w:b/>
          <w:i w:val="0"/>
          <w:color w:val="40464B"/>
          <w:sz w:val="36"/>
        </w:rPr>
        <w:t>Why this deal</w:t>
      </w:r>
    </w:p>
    <w:p>
      <w:pPr>
        <w:spacing w:after="8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 xml:space="preserve">  •  [Thesis bullet 1 — the mispricing or value-add lever.]</w:t>
      </w:r>
    </w:p>
    <w:p>
      <w:pPr>
        <w:spacing w:after="8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 xml:space="preserve">  •  [Thesis bullet 2 — the operational plan and timeline.]</w:t>
      </w:r>
    </w:p>
    <w:p>
      <w:pPr>
        <w:spacing w:after="8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 xml:space="preserve">  •  [Thesis bullet 3 — the downside protection.]</w:t>
      </w:r>
    </w:p>
    <w:p>
      <w:pPr>
        <w:spacing w:after="200" w:before="0"/>
      </w:pPr>
    </w:p>
    <w:p>
      <w:pPr>
        <w:spacing w:after="200" w:before="0"/>
        <w:pBdr>
          <w:bottom w:val="single" w:sz="16" w:space="1" w:color="A3D55D"/>
        </w:pBdr>
      </w:pPr>
      <w:r>
        <w:rPr>
          <w:rFonts w:ascii="Gill Sans MT Pro" w:hAnsi="Gill Sans MT Pro" w:cs="Gill Sans MT Pro" w:eastAsia="Gill Sans MT Pro"/>
          <w:b/>
          <w:i w:val="0"/>
          <w:color w:val="40464B"/>
          <w:sz w:val="36"/>
        </w:rPr>
        <w:t>Why VisionWise</w:t>
      </w:r>
    </w:p>
    <w:p>
      <w:pPr>
        <w:spacing w:after="28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Since [year], VisionWise Capital has acquired and operated [##] properties in Southern California with [##.#]M in investor equity deployed. We invest alongside our LPs on every deal.</w:t>
      </w:r>
    </w:p>
    <w:p>
      <w:pPr>
        <w:spacing w:after="200" w:before="0"/>
        <w:pBdr>
          <w:bottom w:val="single" w:sz="16" w:space="1" w:color="A3D55D"/>
        </w:pBdr>
      </w:pPr>
      <w:r>
        <w:rPr>
          <w:rFonts w:ascii="Gill Sans MT Pro" w:hAnsi="Gill Sans MT Pro" w:cs="Gill Sans MT Pro" w:eastAsia="Gill Sans MT Pro"/>
          <w:b/>
          <w:i w:val="0"/>
          <w:color w:val="40464B"/>
          <w:sz w:val="36"/>
        </w:rPr>
        <w:t>Next step</w:t>
      </w:r>
    </w:p>
    <w:p>
      <w:pPr>
        <w:spacing w:after="280" w:before="0"/>
      </w:pPr>
      <w:r>
        <w:rPr>
          <w:rFonts w:ascii="Proxima Nova" w:hAnsi="Proxima Nova" w:cs="Proxima Nova" w:eastAsia="Proxima Nova"/>
          <w:b/>
          <w:i w:val="0"/>
          <w:color w:val="5C9627"/>
          <w:sz w:val="22"/>
        </w:rPr>
        <w:t>Schedule a consultation with Sanford to walk through the model and diligence package.  ·  visionwisecapital.com  ·  [Phone]  ·  [Email]</w:t>
      </w:r>
    </w:p>
    <w:p>
      <w:pPr>
        <w:spacing w:after="0" w:before="0"/>
      </w:pPr>
      <w:r>
        <w:rPr>
          <w:rFonts w:ascii="Proxima Nova" w:hAnsi="Proxima Nova" w:cs="Proxima Nova" w:eastAsia="Proxima Nova"/>
          <w:b w:val="0"/>
          <w:i w:val="0"/>
          <w:color w:val="8A8F94"/>
          <w:sz w:val="16"/>
        </w:rPr>
        <w:t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oxima Nova" w:hAnsi="Proxima Nova"/>
      <w:color w:val="404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