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20"/>
      </w:pPr>
      <w:r>
        <w:rPr>
          <w:rFonts w:ascii="Lato" w:cs="Lato" w:eastAsia="Lato" w:hAnsi="Lato"/>
          <w:b/>
          <w:bCs/>
          <w:i w:val="false"/>
          <w:iCs w:val="false"/>
          <w:color w:val="5C9627"/>
          <w:sz w:val="16"/>
          <w:szCs w:val="16"/>
        </w:rPr>
        <w:t xml:space="preserve">CASE STUDY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8A8F94"/>
          <w:sz w:val="16"/>
          <w:szCs w:val="16"/>
        </w:rPr>
        <w:t xml:space="preserve">   ·   </w:t>
      </w:r>
      <w:r>
        <w:rPr>
          <w:rFonts w:ascii="Lato" w:cs="Lato" w:eastAsia="Lato" w:hAnsi="Lato"/>
          <w:b/>
          <w:bCs/>
          <w:i w:val="false"/>
          <w:iCs w:val="false"/>
          <w:color w:val="5C9627"/>
          <w:sz w:val="16"/>
          <w:szCs w:val="16"/>
        </w:rPr>
        <w:t xml:space="preserve">SOLD</w:t>
      </w:r>
    </w:p>
    <w:p>
      <w:pPr>
        <w:spacing w:before="0" w:after="20" w:line="280"/>
      </w:pPr>
      <w:r>
        <w:rPr>
          <w:rFonts w:ascii="Lato" w:cs="Lato" w:eastAsia="Lato" w:hAnsi="Lato"/>
          <w:b/>
          <w:bCs/>
          <w:i w:val="false"/>
          <w:iCs w:val="false"/>
          <w:color w:val="40464B"/>
          <w:sz w:val="44"/>
          <w:szCs w:val="44"/>
        </w:rPr>
        <w:t xml:space="preserve">2630-2636 W Porter</w:t>
      </w:r>
    </w:p>
    <w:p>
      <w:pPr>
        <w:spacing w:before="0" w:after="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Fullerton, CA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8A8F94"/>
          <w:sz w:val="20"/>
          <w:szCs w:val="20"/>
        </w:rPr>
        <w:t xml:space="preserve">   · 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11 units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8A8F94"/>
          <w:sz w:val="20"/>
          <w:szCs w:val="20"/>
        </w:rPr>
        <w:t xml:space="preserve">   · 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Acquired October 2017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8A8F94"/>
          <w:sz w:val="20"/>
          <w:szCs w:val="20"/>
        </w:rPr>
        <w:t xml:space="preserve">   · 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Sold November 2018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12"/>
        <w:gridCol w:w="5112"/>
      </w:tblGrid>
      <w:tr>
        <w:tc>
          <w:tcPr>
            <w:tcW w:type="dxa" w:w="5112"/>
            <w:tcBorders>
              <w:top w:val="none"/>
              <w:left w:val="none"/>
              <w:bottom w:val="none"/>
              <w:right w:val="none"/>
            </w:tcBorders>
            <w:shd w:fill="DAF0B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6"/>
                <w:szCs w:val="16"/>
              </w:rPr>
              <w:t xml:space="preserve">LEVERED RETURN</w:t>
            </w:r>
          </w:p>
          <w:p>
            <w:pPr>
              <w:spacing w:before="0" w:after="2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5C9627"/>
                <w:sz w:val="52"/>
                <w:szCs w:val="52"/>
              </w:rPr>
              <w:t xml:space="preserve">16.75%</w:t>
            </w:r>
          </w:p>
        </w:tc>
        <w:tc>
          <w:tcPr>
            <w:tcW w:type="dxa" w:w="5112"/>
            <w:tcBorders>
              <w:top w:val="none"/>
              <w:left w:val="none"/>
              <w:bottom w:val="none"/>
              <w:right w:val="none"/>
            </w:tcBorders>
            <w:shd w:fill="DAF0B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6"/>
                <w:szCs w:val="16"/>
              </w:rPr>
              <w:t xml:space="preserve">PROFIT</w:t>
            </w:r>
          </w:p>
          <w:p>
            <w:pPr>
              <w:spacing w:before="0" w:after="2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5C9627"/>
                <w:sz w:val="52"/>
                <w:szCs w:val="52"/>
              </w:rPr>
              <w:t xml:space="preserve">$387,410</w:t>
            </w:r>
          </w:p>
        </w:tc>
      </w:tr>
    </w:tbl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THE OPPORTUNITY</w:t>
      </w:r>
    </w:p>
    <w:p>
      <w:pPr>
        <w:spacing w:before="40" w:after="40" w:line="2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40464B"/>
          <w:sz w:val="21"/>
          <w:szCs w:val="21"/>
        </w:rPr>
        <w:t xml:space="preserve">An 11-unit infill property in north Orange County. Fullerton's mix of CSU Fullerton enrollment, established commercial corridors, and aging 1960s-era multifamily stock makes it a long-running source of value-add inventory for VWC.</w:t>
      </w:r>
    </w:p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THE STRATEGY</w:t>
      </w:r>
    </w:p>
    <w:p>
      <w:pPr>
        <w:spacing w:before="40" w:after="40" w:line="2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40464B"/>
          <w:sz w:val="21"/>
          <w:szCs w:val="21"/>
        </w:rPr>
        <w:t xml:space="preserve">Standard playbook — acquire, renovate exterior and interiors, push rents to market, sell within 13 months. CapEx of $276K (8.5% of acquisition) covered the unit interiors and curb-appeal improvements needed to support the rent reset.</w:t>
      </w:r>
    </w:p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DEAL SNAPSHOT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812"/>
        <w:gridCol w:w="2300"/>
        <w:gridCol w:w="2812"/>
      </w:tblGrid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Acquisition Price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$3,250,000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Loan Amount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$1,625,000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Per Unit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$295,000 / unit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Loan-to-Cost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41%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CapEx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$276,340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Equity Invested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$2,312,590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Total Cost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$3,937,590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Sale Price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$4,325,000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Hold Period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13 months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Exit Per Unit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$393,000 / unit</w:t>
            </w:r>
          </w:p>
        </w:tc>
      </w:tr>
    </w:tbl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INVESTOR TAKEAWAY</w:t>
      </w:r>
    </w:p>
    <w:p>
      <w:pPr>
        <w:pBdr>
          <w:left w:val="single" w:color="A3D55D" w:sz="16" w:space="12"/>
        </w:pBdr>
        <w:spacing w:before="40" w:after="40" w:line="280"/>
        <w:ind w:left="180" w:right="1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40464B"/>
          <w:sz w:val="21"/>
          <w:szCs w:val="21"/>
        </w:rPr>
        <w:t xml:space="preserve">Demonstrates VWC's ability to scale the value-add model from 5-unit to 11-unit deals without breaking the timeline. A clean exit, executed in roughly the same one-year window as the smaller Hoskins property — the process is repeatable.</w:t>
      </w:r>
    </w:p>
    <w:p>
      <w:pPr>
        <w:pBdr>
          <w:top w:val="single" w:color="E5E7EA" w:sz="4"/>
        </w:pBdr>
        <w:spacing w:before="160" w:after="60"/>
      </w:pPr>
      <w:r>
        <w:t xml:space="preserve"/>
      </w:r>
    </w:p>
    <w:p>
      <w:pPr>
        <w:spacing w:before="0" w:after="0" w:line="220"/>
      </w:pPr>
      <w:r>
        <w:rPr>
          <w:rFonts w:ascii="Open Sans" w:cs="Open Sans" w:eastAsia="Open Sans" w:hAnsi="Open Sans"/>
          <w:b w:val="false"/>
          <w:bCs w:val="false"/>
          <w:i/>
          <w:iCs/>
          <w:color w:val="8A8F94"/>
          <w:sz w:val="13"/>
          <w:szCs w:val="13"/>
        </w:rPr>
        <w:t xml:space="preserve">This communication is provided for informational purposes only and does not constitute an offer to sell or a solicitation of an offer to buy any securities. Any such offer or solicitation will be made only through definitive offering documents (including a private placement memorandum) provided to qualified investors. Past performance is not indicative of future results. Real estate investments involve risk, including loss of principal.</w:t>
      </w:r>
    </w:p>
    <w:sectPr>
      <w:headerReference w:type="default" r:id="rId6"/>
      <w:footerReference w:type="default" r:id="rId7"/>
      <w:pgSz w:w="12240" w:h="15840" w:orient="portrait"/>
      <w:pgMar w:top="1008" w:right="1008" w:bottom="1008" w:left="1008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3D55D" w:sz="4"/>
      </w:pBdr>
      <w:spacing w:before="0" w:after="0"/>
    </w:pPr>
    <w:r>
      <w:t xml:space="preserve"/>
    </w:r>
  </w:p>
  <w:p>
    <w:pPr>
      <w:spacing w:before="80" w:after="0"/>
      <w:jc w:val="left"/>
    </w:pPr>
    <w:r>
      <w:rPr>
        <w:rFonts w:ascii="Open Sans" w:cs="Open Sans" w:eastAsia="Open Sans" w:hAnsi="Open Sans"/>
        <w:b w:val="false"/>
        <w:bCs w:val="false"/>
        <w:i w:val="false"/>
        <w:iCs w:val="false"/>
        <w:color w:val="8A8F94"/>
        <w:sz w:val="16"/>
        <w:szCs w:val="16"/>
      </w:rPr>
      <w:t xml:space="preserve">VisionWise Capital  ·  </w:t>
    </w:r>
    <w:hyperlink w:history="1" r:id="rIdpfmqs7wjogzwokb5iisl1">
      <w:r>
        <w:rPr>
          <w:rFonts w:ascii="Open Sans" w:cs="Open Sans" w:eastAsia="Open Sans" w:hAnsi="Open Sans"/>
          <w:color w:val="5C9627"/>
          <w:sz w:val="16"/>
          <w:szCs w:val="16"/>
        </w:rPr>
        <w:t xml:space="preserve">visionwisecapital.com</w:t>
      </w:r>
    </w:hyperlink>
    <w:r>
      <w:rPr>
        <w:rFonts w:ascii="Open Sans" w:cs="Open Sans" w:eastAsia="Open Sans" w:hAnsi="Open Sans"/>
        <w:b w:val="false"/>
        <w:bCs w:val="false"/>
        <w:i w:val="false"/>
        <w:iCs w:val="false"/>
        <w:color w:val="8A8F94"/>
        <w:sz w:val="16"/>
        <w:szCs w:val="16"/>
      </w:rPr>
      <w:t xml:space="preserve">  ·  (949) 441-5580  ·  </w:t>
    </w:r>
    <w:r>
      <w:rPr>
        <w:rFonts w:ascii="Open Sans" w:cs="Open Sans" w:eastAsia="Open Sans" w:hAnsi="Open Sans"/>
        <w:b w:val="false"/>
        <w:bCs w:val="false"/>
        <w:i/>
        <w:iCs/>
        <w:color w:val="8A8F94"/>
        <w:sz w:val="16"/>
        <w:szCs w:val="16"/>
      </w:rPr>
      <w:t xml:space="preserve">Placing Multifamily Real Estate Within Your Reach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120"/>
      <w:jc w:val="left"/>
    </w:pPr>
    <w:r>
      <w:drawing>
        <wp:inline distT="0" distB="0" distL="0" distR="0">
          <wp:extent cx="1428750" cy="238125"/>
          <wp:effectExtent t="0" r="0" b="0" l="0"/>
          <wp:docPr id="1" name="vwc_logo" descr="VWC Logo" title="VisionWise Capi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40464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pfmqs7wjogzwokb5iisl1" Type="http://schemas.openxmlformats.org/officeDocument/2006/relationships/hyperlink" Target="https://visionwisecapital.com" TargetMode="External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522428a715b3ceca080b5f4e91dc04cd2726ac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2630-2636 W Porter — Case Study</dc:title>
  <dc:creator>VisionWise Capital</dc:creator>
  <dc:description>VWC Case Study: 2630-2636 W Porter, Fullerton, CA</dc:description>
  <cp:lastModifiedBy>Un-named</cp:lastModifiedBy>
  <cp:revision>1</cp:revision>
  <dcterms:created xsi:type="dcterms:W3CDTF">2026-04-25T21:19:03.483Z</dcterms:created>
  <dcterms:modified xsi:type="dcterms:W3CDTF">2026-04-25T21:19:03.483Z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