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245 Cypress Drive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Laguna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6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June 2018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July 2021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10.30%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$180,896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VWC's first multifamily acquisition in Laguna Beach — a six-unit asset within walking distance of the downtown art district, beaches, and restaurants. This deal opened a coastal submarket VWC would return to four more times (374 Cypress, 201 Cypress, 1570 N PCH, and others).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Extensive interior renovations across 2018-2019 to capture the Laguna Beach lifestyle premium. Held through COVID and the 2020 disruption, then sold to a local investor at $579K/unit — well above the acquisition basis of $475K/unit.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$2,850,000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$1,538,000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$475,000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47%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$99,354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$1,756,104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$3,294,104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$3,475,000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38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$579,000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The deal that established VWC's footprint in Laguna Beach. From the sale press release: "VisionWise Capital still retains a portfolio of properties in Laguna Beach... within minutes of the former Cypress property." One acquisition created the local relationships, broker visibility, and operating presence that compounded into a multi-property submarket strategy. Returns are not the only output of a deal — market knowledge is too.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f7yccqhkbopj0gsbynkaw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f7yccqhkbopj0gsbynkaw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245 Cypress Drive — Case Study</dc:title>
  <dc:creator>VisionWise Capital</dc:creator>
  <dc:description>VWC Case Study: 245 Cypress Drive, Laguna Beach, CA</dc:description>
  <cp:lastModifiedBy>Un-named</cp:lastModifiedBy>
  <cp:revision>1</cp:revision>
  <dcterms:created xsi:type="dcterms:W3CDTF">2026-04-25T21:19:03.521Z</dcterms:created>
  <dcterms:modified xsi:type="dcterms:W3CDTF">2026-04-25T21:19:03.521Z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